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474D" w14:textId="19664DC3" w:rsidR="004574A9" w:rsidRPr="004574A9" w:rsidRDefault="004574A9" w:rsidP="004574A9">
      <w:pPr>
        <w:spacing w:before="40" w:line="324" w:lineRule="auto"/>
        <w:jc w:val="center"/>
        <w:rPr>
          <w:b/>
          <w:bCs/>
          <w:iCs/>
          <w:sz w:val="28"/>
          <w:szCs w:val="28"/>
        </w:rPr>
      </w:pPr>
      <w:r w:rsidRPr="004574A9">
        <w:rPr>
          <w:b/>
          <w:bCs/>
          <w:iCs/>
          <w:sz w:val="28"/>
          <w:szCs w:val="28"/>
        </w:rPr>
        <w:t>Government Geographic Information System</w:t>
      </w:r>
    </w:p>
    <w:p w14:paraId="0D203C9A" w14:textId="77777777" w:rsidR="004574A9" w:rsidRPr="004574A9" w:rsidRDefault="004574A9" w:rsidP="004574A9">
      <w:pPr>
        <w:spacing w:before="40" w:line="324" w:lineRule="auto"/>
        <w:ind w:left="1204" w:right="1185" w:firstLine="2"/>
        <w:jc w:val="center"/>
        <w:rPr>
          <w:b/>
          <w:bCs/>
          <w:iCs/>
          <w:sz w:val="28"/>
          <w:szCs w:val="28"/>
        </w:rPr>
      </w:pPr>
      <w:r w:rsidRPr="004574A9">
        <w:rPr>
          <w:b/>
          <w:bCs/>
          <w:iCs/>
          <w:sz w:val="28"/>
          <w:szCs w:val="28"/>
        </w:rPr>
        <w:t>Data Product License Agreement</w:t>
      </w:r>
    </w:p>
    <w:p w14:paraId="28C19B71" w14:textId="77777777" w:rsidR="004574A9" w:rsidRDefault="004574A9" w:rsidP="004574A9">
      <w:pPr>
        <w:spacing w:before="40" w:line="324" w:lineRule="auto"/>
        <w:ind w:right="1185" w:firstLine="2"/>
        <w:rPr>
          <w:b/>
          <w:bCs/>
          <w:iCs/>
        </w:rPr>
      </w:pPr>
    </w:p>
    <w:p w14:paraId="2674FA12" w14:textId="77777777" w:rsidR="004574A9" w:rsidRPr="00984D76" w:rsidRDefault="004574A9" w:rsidP="004574A9">
      <w:pPr>
        <w:spacing w:before="40"/>
        <w:ind w:firstLine="2"/>
        <w:rPr>
          <w:iCs/>
        </w:rPr>
      </w:pPr>
      <w:r w:rsidRPr="00984D76">
        <w:rPr>
          <w:iCs/>
        </w:rPr>
        <w:t>This Licen</w:t>
      </w:r>
      <w:r>
        <w:rPr>
          <w:iCs/>
        </w:rPr>
        <w:t xml:space="preserve">se Agreement between the </w:t>
      </w:r>
      <w:r w:rsidRPr="00733989">
        <w:t xml:space="preserve">Governor’s Office of Information Technology Services </w:t>
      </w:r>
      <w:r>
        <w:t>(“ITS”) and the below identified public agency (“Licensee”) is made in reference to the following facts:</w:t>
      </w:r>
    </w:p>
    <w:p w14:paraId="70AA4AF8" w14:textId="77777777" w:rsidR="004574A9" w:rsidRPr="006934E8" w:rsidRDefault="004574A9" w:rsidP="004574A9">
      <w:pPr>
        <w:spacing w:before="40" w:line="324" w:lineRule="auto"/>
        <w:ind w:left="1204" w:right="1185" w:firstLine="2"/>
        <w:jc w:val="center"/>
        <w:rPr>
          <w:b/>
          <w:bCs/>
          <w:iCs/>
        </w:rPr>
      </w:pPr>
      <w:r>
        <w:rPr>
          <w:b/>
          <w:bCs/>
          <w:iCs/>
        </w:rPr>
        <w:t>Recitals</w:t>
      </w:r>
    </w:p>
    <w:p w14:paraId="500B0268" w14:textId="77777777" w:rsidR="004574A9" w:rsidRPr="00733989" w:rsidRDefault="004574A9" w:rsidP="004574A9">
      <w:pPr>
        <w:pStyle w:val="ListParagraph"/>
        <w:numPr>
          <w:ilvl w:val="0"/>
          <w:numId w:val="17"/>
        </w:numPr>
        <w:spacing w:before="120" w:after="120"/>
        <w:ind w:hanging="720"/>
        <w:contextualSpacing w:val="0"/>
        <w:jc w:val="both"/>
      </w:pPr>
      <w:r>
        <w:t>T</w:t>
      </w:r>
      <w:r w:rsidRPr="006934E8">
        <w:t>he</w:t>
      </w:r>
      <w:r w:rsidRPr="00733989">
        <w:t xml:space="preserve"> State </w:t>
      </w:r>
      <w:r>
        <w:t>ITS</w:t>
      </w:r>
      <w:r w:rsidRPr="00733989">
        <w:t>, has created a Geographic Information System (</w:t>
      </w:r>
      <w:r>
        <w:t>“</w:t>
      </w:r>
      <w:r w:rsidRPr="00733989">
        <w:t>GIS</w:t>
      </w:r>
      <w:r>
        <w:t>”</w:t>
      </w:r>
      <w:r w:rsidRPr="00733989">
        <w:t xml:space="preserve">) comprising maps and other geographic information of and regarding the </w:t>
      </w:r>
      <w:r>
        <w:t>c</w:t>
      </w:r>
      <w:r w:rsidRPr="00733989">
        <w:t>ounties of Idaho</w:t>
      </w:r>
      <w:r>
        <w:t>.</w:t>
      </w:r>
    </w:p>
    <w:p w14:paraId="5168226D" w14:textId="77777777" w:rsidR="004574A9" w:rsidRPr="00733989" w:rsidRDefault="004574A9" w:rsidP="004574A9">
      <w:pPr>
        <w:pStyle w:val="ListParagraph"/>
        <w:numPr>
          <w:ilvl w:val="0"/>
          <w:numId w:val="17"/>
        </w:numPr>
        <w:spacing w:before="120" w:after="120"/>
        <w:ind w:hanging="720"/>
        <w:contextualSpacing w:val="0"/>
        <w:jc w:val="both"/>
      </w:pPr>
      <w:r>
        <w:t>ITS</w:t>
      </w:r>
      <w:r w:rsidRPr="00733989">
        <w:t xml:space="preserve"> continuously acquires, develops, </w:t>
      </w:r>
      <w:r w:rsidRPr="00CA0A9C">
        <w:t>maintains,</w:t>
      </w:r>
      <w:r w:rsidRPr="00733989">
        <w:t xml:space="preserve"> and uses the GIS data in support of its internal business functions and the services it provides to State agencies</w:t>
      </w:r>
      <w:r>
        <w:t>.</w:t>
      </w:r>
    </w:p>
    <w:p w14:paraId="22FD96DA" w14:textId="77777777" w:rsidR="004574A9" w:rsidRPr="006934E8" w:rsidRDefault="004574A9" w:rsidP="004574A9">
      <w:pPr>
        <w:pStyle w:val="ListParagraph"/>
        <w:numPr>
          <w:ilvl w:val="0"/>
          <w:numId w:val="17"/>
        </w:numPr>
        <w:spacing w:before="120" w:after="120"/>
        <w:ind w:hanging="720"/>
        <w:contextualSpacing w:val="0"/>
        <w:jc w:val="both"/>
      </w:pPr>
      <w:r>
        <w:t>T</w:t>
      </w:r>
      <w:r w:rsidRPr="00733989">
        <w:t xml:space="preserve">he GIS data represents a financial investment made by Idaho </w:t>
      </w:r>
      <w:r>
        <w:t>c</w:t>
      </w:r>
      <w:r w:rsidRPr="00733989">
        <w:t xml:space="preserve">ounties on behalf of its taxpayers and Idaho </w:t>
      </w:r>
      <w:r>
        <w:t>c</w:t>
      </w:r>
      <w:r w:rsidRPr="00733989">
        <w:t>ounties wish to protect their investment</w:t>
      </w:r>
      <w:r>
        <w:t>.</w:t>
      </w:r>
    </w:p>
    <w:p w14:paraId="7590E835" w14:textId="77777777" w:rsidR="004574A9" w:rsidRPr="00733989" w:rsidRDefault="004574A9" w:rsidP="004574A9">
      <w:pPr>
        <w:pStyle w:val="ListParagraph"/>
        <w:numPr>
          <w:ilvl w:val="0"/>
          <w:numId w:val="17"/>
        </w:numPr>
        <w:spacing w:before="120" w:after="120"/>
        <w:ind w:hanging="720"/>
        <w:contextualSpacing w:val="0"/>
        <w:jc w:val="both"/>
      </w:pPr>
      <w:r w:rsidRPr="00733989">
        <w:t>County GIS data contains information that may be considered confidential or sensitive and divulging or publishing the information may cause harm or an actionable wrong against a person</w:t>
      </w:r>
      <w:r>
        <w:t>.</w:t>
      </w:r>
    </w:p>
    <w:p w14:paraId="5329303D" w14:textId="77777777" w:rsidR="004574A9" w:rsidRPr="00733989" w:rsidRDefault="004574A9" w:rsidP="004574A9">
      <w:pPr>
        <w:pStyle w:val="ListParagraph"/>
        <w:numPr>
          <w:ilvl w:val="0"/>
          <w:numId w:val="17"/>
        </w:numPr>
        <w:spacing w:before="120" w:after="120"/>
        <w:ind w:hanging="720"/>
        <w:contextualSpacing w:val="0"/>
        <w:jc w:val="both"/>
      </w:pPr>
      <w:r>
        <w:t>M</w:t>
      </w:r>
      <w:r w:rsidRPr="00733989">
        <w:t xml:space="preserve">embers of public agencies </w:t>
      </w:r>
      <w:r>
        <w:t>want</w:t>
      </w:r>
      <w:r w:rsidRPr="00733989">
        <w:t xml:space="preserve"> to gain access to County GIS data</w:t>
      </w:r>
      <w:r>
        <w:t>.</w:t>
      </w:r>
    </w:p>
    <w:p w14:paraId="3C142A30" w14:textId="70D0AF3F" w:rsidR="004574A9" w:rsidRPr="004574A9" w:rsidRDefault="004574A9" w:rsidP="004574A9">
      <w:pPr>
        <w:pStyle w:val="ListParagraph"/>
        <w:numPr>
          <w:ilvl w:val="0"/>
          <w:numId w:val="17"/>
        </w:numPr>
        <w:spacing w:before="120" w:after="120"/>
        <w:ind w:hanging="720"/>
        <w:contextualSpacing w:val="0"/>
        <w:jc w:val="both"/>
      </w:pPr>
      <w:r>
        <w:t>C</w:t>
      </w:r>
      <w:r w:rsidRPr="00733989">
        <w:t>ertain counties (“County” or “Counties”) wish to make their GIS data available in certain compilations, packages and formats including spatial and tabular data (the “Public Agency Dataset”) for use by public agencies subject to the terms and conditions contained in this License Agreement</w:t>
      </w:r>
      <w:r>
        <w:t>.</w:t>
      </w:r>
    </w:p>
    <w:p w14:paraId="6CA33A18" w14:textId="77777777" w:rsidR="004574A9" w:rsidRPr="00FE5AD3" w:rsidRDefault="004574A9" w:rsidP="004574A9">
      <w:pPr>
        <w:spacing w:before="120" w:after="120"/>
        <w:jc w:val="center"/>
        <w:rPr>
          <w:b/>
          <w:bCs/>
        </w:rPr>
      </w:pPr>
      <w:bookmarkStart w:id="0" w:name="_Hlk103259371"/>
      <w:r>
        <w:rPr>
          <w:b/>
          <w:bCs/>
        </w:rPr>
        <w:t>Agreement</w:t>
      </w:r>
    </w:p>
    <w:p w14:paraId="4CF88F92" w14:textId="77777777" w:rsidR="004574A9" w:rsidRDefault="004574A9" w:rsidP="004574A9">
      <w:pPr>
        <w:spacing w:before="120" w:after="120"/>
        <w:ind w:right="79"/>
        <w:jc w:val="both"/>
        <w:rPr>
          <w:rFonts w:eastAsia="Verdana"/>
          <w:color w:val="262626"/>
        </w:rPr>
      </w:pPr>
      <w:r>
        <w:rPr>
          <w:rFonts w:eastAsia="Verdana"/>
          <w:color w:val="262626"/>
        </w:rPr>
        <w:t>T</w:t>
      </w:r>
      <w:r w:rsidRPr="00CE3A12">
        <w:rPr>
          <w:rFonts w:eastAsia="Verdana"/>
          <w:color w:val="262626"/>
        </w:rPr>
        <w:t>he</w:t>
      </w:r>
      <w:r w:rsidRPr="00CE3A12">
        <w:rPr>
          <w:rFonts w:eastAsia="Verdana"/>
          <w:color w:val="262626"/>
          <w:spacing w:val="-4"/>
        </w:rPr>
        <w:t xml:space="preserve"> </w:t>
      </w:r>
      <w:r w:rsidRPr="00CE3A12">
        <w:rPr>
          <w:rFonts w:eastAsia="Verdana"/>
          <w:color w:val="262626"/>
          <w:spacing w:val="1"/>
        </w:rPr>
        <w:t>p</w:t>
      </w:r>
      <w:r w:rsidRPr="00CE3A12">
        <w:rPr>
          <w:rFonts w:eastAsia="Verdana"/>
          <w:color w:val="262626"/>
        </w:rPr>
        <w:t>arti</w:t>
      </w:r>
      <w:r w:rsidRPr="00CE3A12">
        <w:rPr>
          <w:rFonts w:eastAsia="Verdana"/>
          <w:color w:val="262626"/>
          <w:spacing w:val="1"/>
        </w:rPr>
        <w:t>e</w:t>
      </w:r>
      <w:r w:rsidRPr="00CE3A12">
        <w:rPr>
          <w:rFonts w:eastAsia="Verdana"/>
          <w:color w:val="262626"/>
        </w:rPr>
        <w:t>s</w:t>
      </w:r>
      <w:r w:rsidRPr="00CE3A12">
        <w:rPr>
          <w:rFonts w:eastAsia="Verdana"/>
          <w:color w:val="262626"/>
          <w:spacing w:val="-8"/>
        </w:rPr>
        <w:t xml:space="preserve"> </w:t>
      </w:r>
      <w:r w:rsidRPr="00CE3A12">
        <w:rPr>
          <w:rFonts w:eastAsia="Verdana"/>
          <w:color w:val="262626"/>
        </w:rPr>
        <w:t>a</w:t>
      </w:r>
      <w:r w:rsidRPr="00CE3A12">
        <w:rPr>
          <w:rFonts w:eastAsia="Verdana"/>
          <w:color w:val="262626"/>
          <w:spacing w:val="1"/>
        </w:rPr>
        <w:t>g</w:t>
      </w:r>
      <w:r w:rsidRPr="00CE3A12">
        <w:rPr>
          <w:rFonts w:eastAsia="Verdana"/>
          <w:color w:val="262626"/>
        </w:rPr>
        <w:t>ree</w:t>
      </w:r>
      <w:r w:rsidRPr="00CE3A12">
        <w:rPr>
          <w:rFonts w:eastAsia="Verdana"/>
          <w:color w:val="262626"/>
          <w:spacing w:val="-6"/>
        </w:rPr>
        <w:t xml:space="preserve"> </w:t>
      </w:r>
      <w:r w:rsidRPr="00CE3A12">
        <w:rPr>
          <w:rFonts w:eastAsia="Verdana"/>
          <w:color w:val="262626"/>
          <w:spacing w:val="1"/>
        </w:rPr>
        <w:t>a</w:t>
      </w:r>
      <w:r w:rsidRPr="00CE3A12">
        <w:rPr>
          <w:rFonts w:eastAsia="Verdana"/>
          <w:color w:val="262626"/>
        </w:rPr>
        <w:t>s</w:t>
      </w:r>
      <w:r w:rsidRPr="00CE3A12">
        <w:rPr>
          <w:rFonts w:eastAsia="Verdana"/>
          <w:color w:val="262626"/>
          <w:spacing w:val="-3"/>
        </w:rPr>
        <w:t xml:space="preserve"> </w:t>
      </w:r>
      <w:r w:rsidRPr="00CE3A12">
        <w:rPr>
          <w:rFonts w:eastAsia="Verdana"/>
          <w:color w:val="262626"/>
        </w:rPr>
        <w:t>follows:</w:t>
      </w:r>
    </w:p>
    <w:p w14:paraId="76A8C0C2" w14:textId="77777777" w:rsidR="004574A9" w:rsidRPr="00CE3A12" w:rsidRDefault="004574A9" w:rsidP="004574A9">
      <w:pPr>
        <w:spacing w:before="120" w:after="120"/>
        <w:ind w:left="140" w:right="79"/>
        <w:jc w:val="both"/>
        <w:rPr>
          <w:rFonts w:eastAsia="Verdana"/>
          <w:b/>
          <w:bCs/>
          <w:color w:val="262626"/>
        </w:rPr>
      </w:pPr>
    </w:p>
    <w:p w14:paraId="42F7C1D2" w14:textId="77777777" w:rsidR="004574A9" w:rsidRPr="006934E8" w:rsidRDefault="004574A9" w:rsidP="004574A9">
      <w:pPr>
        <w:pStyle w:val="ListParagraph"/>
        <w:numPr>
          <w:ilvl w:val="0"/>
          <w:numId w:val="23"/>
        </w:numPr>
        <w:spacing w:before="120" w:after="120"/>
        <w:contextualSpacing w:val="0"/>
        <w:rPr>
          <w:rFonts w:eastAsia="Verdana"/>
          <w:b/>
          <w:bCs/>
        </w:rPr>
      </w:pPr>
      <w:r w:rsidRPr="006934E8">
        <w:rPr>
          <w:rFonts w:eastAsia="Verdana"/>
          <w:b/>
          <w:bCs/>
        </w:rPr>
        <w:t>Rights Granted</w:t>
      </w:r>
    </w:p>
    <w:p w14:paraId="35D36C22" w14:textId="77777777" w:rsidR="004574A9" w:rsidRPr="006A6E21" w:rsidRDefault="004574A9" w:rsidP="004574A9">
      <w:pPr>
        <w:pStyle w:val="ListParagraph"/>
        <w:numPr>
          <w:ilvl w:val="1"/>
          <w:numId w:val="23"/>
        </w:numPr>
        <w:spacing w:before="120" w:after="120"/>
        <w:contextualSpacing w:val="0"/>
        <w:rPr>
          <w:rFonts w:eastAsia="Verdana"/>
        </w:rPr>
      </w:pPr>
      <w:r w:rsidRPr="00037964">
        <w:rPr>
          <w:rFonts w:eastAsia="Verdana"/>
        </w:rPr>
        <w:t xml:space="preserve">ITS </w:t>
      </w:r>
      <w:r w:rsidRPr="006934E8">
        <w:rPr>
          <w:rFonts w:eastAsia="Verdana"/>
        </w:rPr>
        <w:t xml:space="preserve">grants the Licensee a license to use </w:t>
      </w:r>
      <w:r w:rsidRPr="00037964">
        <w:rPr>
          <w:rFonts w:eastAsia="Verdana"/>
        </w:rPr>
        <w:t>the Public Agency Dataset</w:t>
      </w:r>
      <w:r w:rsidRPr="006934E8">
        <w:rPr>
          <w:rFonts w:eastAsia="Verdana"/>
        </w:rPr>
        <w:t>.</w:t>
      </w:r>
    </w:p>
    <w:p w14:paraId="03774740" w14:textId="4428404A" w:rsidR="004574A9" w:rsidRDefault="004574A9" w:rsidP="004574A9">
      <w:pPr>
        <w:pStyle w:val="ListParagraph"/>
        <w:numPr>
          <w:ilvl w:val="1"/>
          <w:numId w:val="23"/>
        </w:numPr>
        <w:spacing w:before="120" w:after="120"/>
        <w:contextualSpacing w:val="0"/>
        <w:rPr>
          <w:rFonts w:eastAsia="Verdana"/>
        </w:rPr>
      </w:pPr>
      <w:r>
        <w:t xml:space="preserve">The Public Agency Dataset shall be used </w:t>
      </w:r>
      <w:r w:rsidRPr="006A6E21">
        <w:t>for internal processes</w:t>
      </w:r>
      <w:r>
        <w:t xml:space="preserve">, which is limited to use by the employees and contractors working on behalf of the Public Agency. </w:t>
      </w:r>
      <w:r w:rsidRPr="006A6E21">
        <w:t>Internal processes are defined as recurring, routine and planned activities performed to fulfill the mission of the public agency.</w:t>
      </w:r>
      <w:r>
        <w:rPr>
          <w:b/>
          <w:bCs/>
        </w:rPr>
        <w:t xml:space="preserve"> </w:t>
      </w:r>
      <w:bookmarkEnd w:id="0"/>
      <w:r w:rsidRPr="006934E8">
        <w:rPr>
          <w:rFonts w:eastAsia="Verdana"/>
        </w:rPr>
        <w:t xml:space="preserve">This License Agreement permits Licensee to utilize the Public Agency Dataset in accordance with the terms and conditions provided herein and does not constitute a sale of any title or interest in the Public Agency Dataset. </w:t>
      </w:r>
    </w:p>
    <w:p w14:paraId="57373750" w14:textId="77777777" w:rsidR="004574A9" w:rsidRPr="004574A9" w:rsidRDefault="004574A9" w:rsidP="004574A9">
      <w:pPr>
        <w:pStyle w:val="ListParagraph"/>
        <w:spacing w:before="120" w:after="120"/>
        <w:ind w:left="792"/>
        <w:contextualSpacing w:val="0"/>
        <w:rPr>
          <w:rFonts w:eastAsia="Verdana"/>
        </w:rPr>
      </w:pPr>
    </w:p>
    <w:p w14:paraId="2726A8E2" w14:textId="77777777" w:rsidR="004574A9" w:rsidRPr="006934E8" w:rsidRDefault="004574A9" w:rsidP="004574A9">
      <w:pPr>
        <w:pStyle w:val="ListParagraph"/>
        <w:numPr>
          <w:ilvl w:val="0"/>
          <w:numId w:val="23"/>
        </w:numPr>
        <w:spacing w:before="120" w:after="120"/>
        <w:contextualSpacing w:val="0"/>
        <w:rPr>
          <w:rFonts w:eastAsia="Verdana"/>
          <w:b/>
          <w:bCs/>
        </w:rPr>
      </w:pPr>
      <w:r w:rsidRPr="006934E8">
        <w:rPr>
          <w:rFonts w:eastAsia="Verdana"/>
          <w:b/>
          <w:bCs/>
        </w:rPr>
        <w:t>Assignment</w:t>
      </w:r>
    </w:p>
    <w:p w14:paraId="11299E4D" w14:textId="731E8ECA" w:rsidR="004574A9" w:rsidRPr="006934E8" w:rsidRDefault="004574A9" w:rsidP="004574A9">
      <w:pPr>
        <w:pStyle w:val="ListParagraph"/>
        <w:numPr>
          <w:ilvl w:val="1"/>
          <w:numId w:val="23"/>
        </w:numPr>
        <w:spacing w:before="120" w:after="120"/>
        <w:contextualSpacing w:val="0"/>
        <w:rPr>
          <w:rFonts w:eastAsia="Verdana"/>
        </w:rPr>
      </w:pPr>
      <w:r w:rsidRPr="00037964">
        <w:rPr>
          <w:rFonts w:eastAsia="Verdana"/>
        </w:rPr>
        <w:lastRenderedPageBreak/>
        <w:t>Except as otherwise specifically provided herein, t</w:t>
      </w:r>
      <w:r w:rsidRPr="006934E8">
        <w:rPr>
          <w:rFonts w:eastAsia="Verdana"/>
        </w:rPr>
        <w:t>he Licensee shall not license, sub-license, assign, release, publish</w:t>
      </w:r>
      <w:r>
        <w:rPr>
          <w:rFonts w:eastAsia="Verdana"/>
        </w:rPr>
        <w:t xml:space="preserve">, </w:t>
      </w:r>
      <w:r w:rsidRPr="006934E8">
        <w:rPr>
          <w:rFonts w:eastAsia="Verdana"/>
        </w:rPr>
        <w:t xml:space="preserve"> </w:t>
      </w:r>
      <w:r w:rsidRPr="00C45DF2">
        <w:rPr>
          <w:rFonts w:eastAsia="Verdana"/>
        </w:rPr>
        <w:t xml:space="preserve">transfer, sell or otherwise make available the Public Agency Dataset to the public.  Information products created through aggregation or analyses of parcel data such as static maps and analyses results can be released to the public in the form of maps, </w:t>
      </w:r>
      <w:r w:rsidRPr="00C45DF2">
        <w:rPr>
          <w:rFonts w:eastAsia="Verdana"/>
        </w:rPr>
        <w:t>publications,</w:t>
      </w:r>
      <w:r w:rsidRPr="00C45DF2">
        <w:rPr>
          <w:rFonts w:eastAsia="Verdana"/>
        </w:rPr>
        <w:t xml:space="preserve"> and reports. </w:t>
      </w:r>
    </w:p>
    <w:p w14:paraId="04AAAC4B" w14:textId="498C96B7" w:rsidR="004574A9" w:rsidRDefault="004574A9" w:rsidP="004574A9">
      <w:pPr>
        <w:pStyle w:val="ListParagraph"/>
        <w:numPr>
          <w:ilvl w:val="1"/>
          <w:numId w:val="23"/>
        </w:numPr>
        <w:spacing w:before="120" w:after="120"/>
        <w:contextualSpacing w:val="0"/>
        <w:rPr>
          <w:rFonts w:eastAsia="Verdana"/>
        </w:rPr>
      </w:pPr>
      <w:r w:rsidRPr="006934E8">
        <w:rPr>
          <w:rFonts w:eastAsia="Verdana"/>
        </w:rPr>
        <w:t>Neither this License Agreement nor the rights granted by it shall be assigned or transferred by the Licensee under any circumstance whatsoever. This restriction on assignments and transfers shall apply to assignments or transfers by operation of law, as well as by contract, merger, or consolidation. Any attempted assignment or transfer in derogation of this prohibition is void</w:t>
      </w:r>
    </w:p>
    <w:p w14:paraId="317EC9F1" w14:textId="77777777" w:rsidR="004574A9" w:rsidRPr="006934E8" w:rsidRDefault="004574A9" w:rsidP="004574A9">
      <w:pPr>
        <w:pStyle w:val="ListParagraph"/>
        <w:spacing w:before="120" w:after="120"/>
        <w:ind w:left="792"/>
        <w:contextualSpacing w:val="0"/>
        <w:rPr>
          <w:rFonts w:eastAsia="Verdana"/>
        </w:rPr>
      </w:pPr>
    </w:p>
    <w:p w14:paraId="22A07531" w14:textId="77777777" w:rsidR="004574A9" w:rsidRPr="006934E8" w:rsidRDefault="004574A9" w:rsidP="004574A9">
      <w:pPr>
        <w:pStyle w:val="ListParagraph"/>
        <w:numPr>
          <w:ilvl w:val="0"/>
          <w:numId w:val="23"/>
        </w:numPr>
        <w:spacing w:before="120" w:after="120"/>
        <w:contextualSpacing w:val="0"/>
        <w:rPr>
          <w:rFonts w:eastAsia="Verdana"/>
          <w:b/>
          <w:bCs/>
        </w:rPr>
      </w:pPr>
      <w:r w:rsidRPr="006934E8">
        <w:rPr>
          <w:rFonts w:eastAsia="Verdana"/>
          <w:b/>
          <w:bCs/>
        </w:rPr>
        <w:t>Disclaimer</w:t>
      </w:r>
    </w:p>
    <w:p w14:paraId="00BC9845" w14:textId="77777777" w:rsidR="004574A9" w:rsidRPr="006934E8" w:rsidRDefault="004574A9" w:rsidP="004574A9">
      <w:pPr>
        <w:pStyle w:val="ListParagraph"/>
        <w:numPr>
          <w:ilvl w:val="1"/>
          <w:numId w:val="23"/>
        </w:numPr>
        <w:spacing w:before="120" w:after="120"/>
        <w:contextualSpacing w:val="0"/>
        <w:rPr>
          <w:rFonts w:eastAsia="Verdana"/>
        </w:rPr>
      </w:pPr>
      <w:r w:rsidRPr="00037964">
        <w:rPr>
          <w:rFonts w:eastAsia="Verdana"/>
        </w:rPr>
        <w:t>Any maps, publications, reports, or ot</w:t>
      </w:r>
      <w:r w:rsidRPr="006934E8">
        <w:rPr>
          <w:rFonts w:eastAsia="Verdana"/>
        </w:rPr>
        <w:t xml:space="preserve">her documents prepared by Licensee, or </w:t>
      </w:r>
      <w:r>
        <w:rPr>
          <w:rFonts w:eastAsia="Verdana"/>
        </w:rPr>
        <w:t>Licensee’s</w:t>
      </w:r>
      <w:r w:rsidRPr="006934E8">
        <w:rPr>
          <w:rFonts w:eastAsia="Verdana"/>
        </w:rPr>
        <w:t xml:space="preserve"> independent contractor</w:t>
      </w:r>
      <w:r>
        <w:rPr>
          <w:rFonts w:eastAsia="Verdana"/>
        </w:rPr>
        <w:t>,</w:t>
      </w:r>
      <w:r w:rsidRPr="00037964">
        <w:rPr>
          <w:rFonts w:eastAsia="Verdana"/>
        </w:rPr>
        <w:t xml:space="preserve"> whose production utilizes Public Agency Dataset</w:t>
      </w:r>
      <w:r w:rsidRPr="006934E8">
        <w:rPr>
          <w:rFonts w:eastAsia="Verdana"/>
        </w:rPr>
        <w:t>, will credit the source of the Public Agency Dataset with the following credit/disclaimer:</w:t>
      </w:r>
    </w:p>
    <w:p w14:paraId="5E2A3CC5" w14:textId="77777777" w:rsidR="004574A9" w:rsidRPr="009C72F9" w:rsidRDefault="004574A9" w:rsidP="004574A9">
      <w:pPr>
        <w:spacing w:before="120" w:after="120"/>
        <w:ind w:left="720"/>
        <w:rPr>
          <w:rFonts w:eastAsia="Verdana"/>
        </w:rPr>
      </w:pPr>
      <w:r w:rsidRPr="006934E8">
        <w:rPr>
          <w:rFonts w:eastAsia="Verdana"/>
          <w:i/>
          <w:iCs/>
        </w:rPr>
        <w:t>This (map/publication/report) includes parcel data generated by one or more Counties in Idaho and is aggregated and standardized by the Governor’s Office of Information Technology (ITS). All digital data provided by the Idaho Counties and ITS is provided ‘as-is’ with no guarantee for its accuracy.</w:t>
      </w:r>
      <w:r>
        <w:rPr>
          <w:rFonts w:eastAsia="Verdana"/>
          <w:i/>
          <w:iCs/>
        </w:rPr>
        <w:t>”</w:t>
      </w:r>
    </w:p>
    <w:p w14:paraId="156A4A21" w14:textId="6815E5C2" w:rsidR="004574A9" w:rsidRDefault="004574A9" w:rsidP="004574A9">
      <w:pPr>
        <w:pStyle w:val="ListParagraph"/>
        <w:numPr>
          <w:ilvl w:val="1"/>
          <w:numId w:val="23"/>
        </w:numPr>
        <w:spacing w:before="120" w:after="120"/>
        <w:contextualSpacing w:val="0"/>
        <w:rPr>
          <w:rFonts w:eastAsia="Verdana"/>
        </w:rPr>
      </w:pPr>
      <w:r w:rsidRPr="00037964">
        <w:rPr>
          <w:rFonts w:eastAsia="Verdana"/>
        </w:rPr>
        <w:t xml:space="preserve">The Licensee shall require any independent contractor, hired to </w:t>
      </w:r>
      <w:r w:rsidRPr="006934E8">
        <w:rPr>
          <w:rFonts w:eastAsia="Verdana"/>
        </w:rPr>
        <w:t>undertake work which will utilize Public Agency Dataset, to agree not to use, reproduce or redistribute Public Agency Dataset for any purpose other than the specified contracted work. All access to Public Agency Dataset utilized by an independent contractor will be revoked at the close of such contractual work. All copies of Public Agency Dataset made by an independent contractor, including other products or data sets where those data are utilized or included, will be deleted, wiped, digitally destroyed, or returned to the original Licensee at the close of such contractual work.  The Licensee hereby agrees to abide by the use and reproduction conditions specified above and agrees to hold any independent contractor to the same terms.</w:t>
      </w:r>
    </w:p>
    <w:p w14:paraId="2B1C410F" w14:textId="77777777" w:rsidR="004574A9" w:rsidRPr="006934E8" w:rsidRDefault="004574A9" w:rsidP="004574A9">
      <w:pPr>
        <w:pStyle w:val="ListParagraph"/>
        <w:spacing w:before="120" w:after="120"/>
        <w:ind w:left="792"/>
        <w:contextualSpacing w:val="0"/>
        <w:rPr>
          <w:rFonts w:eastAsia="Verdana"/>
        </w:rPr>
      </w:pPr>
    </w:p>
    <w:p w14:paraId="29AA9CE5" w14:textId="77777777" w:rsidR="004574A9" w:rsidRPr="006934E8" w:rsidRDefault="004574A9" w:rsidP="004574A9">
      <w:pPr>
        <w:pStyle w:val="ListParagraph"/>
        <w:numPr>
          <w:ilvl w:val="0"/>
          <w:numId w:val="23"/>
        </w:numPr>
        <w:spacing w:before="120" w:after="120"/>
        <w:contextualSpacing w:val="0"/>
        <w:rPr>
          <w:rFonts w:eastAsia="Verdana"/>
          <w:b/>
          <w:bCs/>
        </w:rPr>
      </w:pPr>
      <w:r w:rsidRPr="006934E8">
        <w:rPr>
          <w:rFonts w:eastAsia="Verdana"/>
          <w:b/>
          <w:bCs/>
        </w:rPr>
        <w:t>Warranties and Liabilities</w:t>
      </w:r>
    </w:p>
    <w:p w14:paraId="1151CCEB" w14:textId="77777777" w:rsidR="004574A9" w:rsidRPr="00977026" w:rsidRDefault="004574A9" w:rsidP="004574A9">
      <w:pPr>
        <w:pStyle w:val="ListParagraph"/>
        <w:numPr>
          <w:ilvl w:val="1"/>
          <w:numId w:val="23"/>
        </w:numPr>
        <w:spacing w:before="120" w:after="120"/>
        <w:contextualSpacing w:val="0"/>
      </w:pPr>
      <w:r w:rsidRPr="006934E8">
        <w:rPr>
          <w:rFonts w:eastAsia="Verdana"/>
        </w:rPr>
        <w:t xml:space="preserve">The </w:t>
      </w:r>
      <w:r w:rsidRPr="00037964">
        <w:rPr>
          <w:rFonts w:eastAsia="Verdana"/>
        </w:rPr>
        <w:t xml:space="preserve">Public Agency Dataset is subject to </w:t>
      </w:r>
      <w:r w:rsidRPr="006934E8">
        <w:rPr>
          <w:rFonts w:eastAsia="Verdana"/>
        </w:rPr>
        <w:t>constant change and its accuracy and completeness cannot be, and is not, guaranteed by the Counties and ITS. ITS and the Counties</w:t>
      </w:r>
      <w:r w:rsidRPr="006934E8" w:rsidDel="00EC2EC2">
        <w:rPr>
          <w:rFonts w:eastAsia="Verdana"/>
        </w:rPr>
        <w:t xml:space="preserve"> </w:t>
      </w:r>
      <w:r w:rsidRPr="006934E8">
        <w:rPr>
          <w:rFonts w:eastAsia="Verdana"/>
        </w:rPr>
        <w:t>make no warranties or guarantees, either expressed or implied, as to the completeness, accuracy, or correctness of the Public Agency Dataset, nor accept any liability arising from any incorrect, incomplete, or misleading information contained therein. There are no warranties, either expressed or implied, of merchantability or fitness of such Public Agency Dataset for a particular purpose.</w:t>
      </w:r>
    </w:p>
    <w:p w14:paraId="0A2F110A" w14:textId="75F8A068" w:rsidR="004574A9" w:rsidRDefault="004574A9" w:rsidP="004574A9">
      <w:pPr>
        <w:pStyle w:val="ListParagraph"/>
        <w:numPr>
          <w:ilvl w:val="1"/>
          <w:numId w:val="23"/>
        </w:numPr>
        <w:spacing w:before="120" w:after="120"/>
        <w:contextualSpacing w:val="0"/>
        <w:rPr>
          <w:rFonts w:eastAsia="Verdana"/>
        </w:rPr>
      </w:pPr>
      <w:r w:rsidRPr="00037964">
        <w:rPr>
          <w:rFonts w:eastAsia="Verdana"/>
        </w:rPr>
        <w:t>Neither ITS</w:t>
      </w:r>
      <w:r w:rsidRPr="00037964" w:rsidDel="00EC2EC2">
        <w:rPr>
          <w:rFonts w:eastAsia="Verdana"/>
        </w:rPr>
        <w:t xml:space="preserve"> </w:t>
      </w:r>
      <w:r w:rsidRPr="00037964">
        <w:rPr>
          <w:rFonts w:eastAsia="Verdana"/>
        </w:rPr>
        <w:t>nor the Counties are responsible for</w:t>
      </w:r>
      <w:r w:rsidRPr="006934E8">
        <w:rPr>
          <w:rFonts w:eastAsia="Verdana"/>
        </w:rPr>
        <w:t xml:space="preserve"> any incidental, consequential, or special damages arising out of the use of the Public Agency Dataset provided to the Licensee. The Licensee agrees that the </w:t>
      </w:r>
      <w:r>
        <w:rPr>
          <w:rFonts w:eastAsia="Verdana"/>
        </w:rPr>
        <w:t>Public Agency Dataset</w:t>
      </w:r>
      <w:r w:rsidRPr="006934E8">
        <w:rPr>
          <w:rFonts w:eastAsia="Verdana"/>
        </w:rPr>
        <w:t xml:space="preserve"> shall be used and relied upon only at the sole risk of the Licensee.</w:t>
      </w:r>
    </w:p>
    <w:p w14:paraId="5E2EAC51" w14:textId="77777777" w:rsidR="004574A9" w:rsidRPr="006934E8" w:rsidRDefault="004574A9" w:rsidP="004574A9">
      <w:pPr>
        <w:pStyle w:val="ListParagraph"/>
        <w:spacing w:before="120" w:after="120"/>
        <w:ind w:left="792"/>
        <w:contextualSpacing w:val="0"/>
        <w:rPr>
          <w:rFonts w:eastAsia="Verdana"/>
        </w:rPr>
      </w:pPr>
    </w:p>
    <w:p w14:paraId="4AAD72EA" w14:textId="77777777" w:rsidR="004574A9" w:rsidRPr="006934E8" w:rsidRDefault="004574A9" w:rsidP="004574A9">
      <w:pPr>
        <w:pStyle w:val="ListParagraph"/>
        <w:numPr>
          <w:ilvl w:val="0"/>
          <w:numId w:val="23"/>
        </w:numPr>
        <w:spacing w:before="120" w:after="120"/>
        <w:contextualSpacing w:val="0"/>
        <w:rPr>
          <w:rFonts w:eastAsia="Verdana"/>
          <w:b/>
          <w:bCs/>
        </w:rPr>
      </w:pPr>
      <w:r w:rsidRPr="006934E8">
        <w:rPr>
          <w:rFonts w:eastAsia="Verdana"/>
          <w:b/>
          <w:bCs/>
        </w:rPr>
        <w:t>Termination</w:t>
      </w:r>
    </w:p>
    <w:p w14:paraId="7B1E6361" w14:textId="77777777" w:rsidR="004574A9" w:rsidRPr="006934E8" w:rsidRDefault="004574A9" w:rsidP="004574A9">
      <w:pPr>
        <w:pStyle w:val="ListParagraph"/>
        <w:numPr>
          <w:ilvl w:val="1"/>
          <w:numId w:val="23"/>
        </w:numPr>
        <w:spacing w:before="120" w:after="120"/>
        <w:contextualSpacing w:val="0"/>
        <w:rPr>
          <w:rFonts w:eastAsia="Verdana"/>
        </w:rPr>
      </w:pPr>
      <w:r w:rsidRPr="006934E8">
        <w:rPr>
          <w:rFonts w:eastAsia="Verdana"/>
        </w:rPr>
        <w:lastRenderedPageBreak/>
        <w:t>In the event that the Licensee shall not faithfully perform any and all of Licensee</w:t>
      </w:r>
      <w:r>
        <w:rPr>
          <w:rFonts w:eastAsia="Verdana"/>
        </w:rPr>
        <w:t>’s</w:t>
      </w:r>
      <w:r w:rsidRPr="006934E8">
        <w:rPr>
          <w:rFonts w:eastAsia="Verdana"/>
        </w:rPr>
        <w:t xml:space="preserve"> obligations under this License, </w:t>
      </w:r>
      <w:r>
        <w:rPr>
          <w:rFonts w:eastAsia="Verdana"/>
        </w:rPr>
        <w:t>ITS</w:t>
      </w:r>
      <w:r w:rsidRPr="006934E8" w:rsidDel="00EC2EC2">
        <w:rPr>
          <w:rFonts w:eastAsia="Verdana"/>
        </w:rPr>
        <w:t xml:space="preserve"> </w:t>
      </w:r>
      <w:r w:rsidRPr="006934E8">
        <w:rPr>
          <w:rFonts w:eastAsia="Verdana"/>
        </w:rPr>
        <w:t xml:space="preserve">shall have the right to terminate this License. </w:t>
      </w:r>
    </w:p>
    <w:p w14:paraId="57D7816A" w14:textId="77777777" w:rsidR="004574A9" w:rsidRDefault="004574A9" w:rsidP="004574A9">
      <w:pPr>
        <w:pStyle w:val="ListParagraph"/>
        <w:numPr>
          <w:ilvl w:val="1"/>
          <w:numId w:val="23"/>
        </w:numPr>
        <w:spacing w:before="120" w:after="120"/>
        <w:contextualSpacing w:val="0"/>
        <w:rPr>
          <w:rFonts w:eastAsia="Verdana"/>
        </w:rPr>
      </w:pPr>
      <w:r>
        <w:rPr>
          <w:rFonts w:eastAsia="Verdana"/>
        </w:rPr>
        <w:t>ITS</w:t>
      </w:r>
      <w:r w:rsidRPr="006934E8" w:rsidDel="00EC2EC2">
        <w:rPr>
          <w:rFonts w:eastAsia="Verdana"/>
        </w:rPr>
        <w:t xml:space="preserve"> </w:t>
      </w:r>
      <w:r w:rsidRPr="006934E8">
        <w:rPr>
          <w:rFonts w:eastAsia="Verdana"/>
        </w:rPr>
        <w:t>shall have the right to terminate this Agreement if: (a) Licensee attempts to assign its rights without the written consent of County or ITS; (b) if Licensee delivers or attempts to deliver the licensed data to another agency, corporation, or person without the prior written consent of the County</w:t>
      </w:r>
      <w:r>
        <w:rPr>
          <w:rFonts w:eastAsia="Verdana"/>
        </w:rPr>
        <w:t xml:space="preserve"> and noticed to ITS</w:t>
      </w:r>
      <w:r w:rsidRPr="006934E8">
        <w:rPr>
          <w:rFonts w:eastAsia="Verdana"/>
        </w:rPr>
        <w:t>.</w:t>
      </w:r>
    </w:p>
    <w:p w14:paraId="018C9F0C" w14:textId="77777777" w:rsidR="004574A9" w:rsidRDefault="004574A9" w:rsidP="004574A9">
      <w:pPr>
        <w:pStyle w:val="ListParagraph"/>
        <w:numPr>
          <w:ilvl w:val="1"/>
          <w:numId w:val="23"/>
        </w:numPr>
        <w:jc w:val="both"/>
      </w:pPr>
      <w:r w:rsidRPr="001E50AB">
        <w:t xml:space="preserve">This Agreement is effective as of the </w:t>
      </w:r>
      <w:r>
        <w:t>date when the last party signed this agreement</w:t>
      </w:r>
      <w:r w:rsidRPr="001E50AB">
        <w:t xml:space="preserve"> and shall continue in effect until terminated.  </w:t>
      </w:r>
    </w:p>
    <w:p w14:paraId="0ABE332E" w14:textId="77777777" w:rsidR="004574A9" w:rsidRPr="006934E8" w:rsidRDefault="004574A9" w:rsidP="004574A9">
      <w:pPr>
        <w:pStyle w:val="ListParagraph"/>
        <w:spacing w:before="120" w:after="120"/>
        <w:ind w:left="792"/>
        <w:contextualSpacing w:val="0"/>
        <w:rPr>
          <w:rFonts w:eastAsia="Verdana"/>
        </w:rPr>
      </w:pPr>
    </w:p>
    <w:p w14:paraId="3DBE1872" w14:textId="77777777" w:rsidR="004574A9" w:rsidRPr="006934E8" w:rsidRDefault="004574A9" w:rsidP="004574A9">
      <w:pPr>
        <w:pStyle w:val="ListParagraph"/>
        <w:numPr>
          <w:ilvl w:val="0"/>
          <w:numId w:val="23"/>
        </w:numPr>
        <w:spacing w:before="120" w:after="120"/>
        <w:contextualSpacing w:val="0"/>
        <w:rPr>
          <w:rFonts w:eastAsia="Verdana"/>
          <w:b/>
          <w:bCs/>
        </w:rPr>
      </w:pPr>
      <w:r w:rsidRPr="006934E8">
        <w:rPr>
          <w:rFonts w:eastAsia="Verdana"/>
          <w:b/>
          <w:bCs/>
        </w:rPr>
        <w:t>Remedies</w:t>
      </w:r>
    </w:p>
    <w:p w14:paraId="40BC9D40" w14:textId="77777777" w:rsidR="004574A9" w:rsidRPr="006934E8" w:rsidRDefault="004574A9" w:rsidP="004574A9">
      <w:pPr>
        <w:pStyle w:val="ListParagraph"/>
        <w:numPr>
          <w:ilvl w:val="1"/>
          <w:numId w:val="23"/>
        </w:numPr>
        <w:spacing w:before="120" w:after="120"/>
        <w:contextualSpacing w:val="0"/>
        <w:rPr>
          <w:rFonts w:eastAsia="Verdana"/>
        </w:rPr>
      </w:pPr>
      <w:r w:rsidRPr="006934E8">
        <w:rPr>
          <w:rFonts w:eastAsia="Verdana"/>
        </w:rPr>
        <w:t xml:space="preserve">In the event of a breach or threatened breach of any of the provisions of this Agreement by the Licensee or any employee, representative or agent of the Licensee, </w:t>
      </w:r>
      <w:r w:rsidRPr="00037964">
        <w:rPr>
          <w:rFonts w:eastAsia="Verdana"/>
        </w:rPr>
        <w:t>ITS</w:t>
      </w:r>
      <w:r w:rsidRPr="00037964" w:rsidDel="00EC2EC2">
        <w:rPr>
          <w:rFonts w:eastAsia="Verdana"/>
        </w:rPr>
        <w:t xml:space="preserve"> </w:t>
      </w:r>
      <w:r w:rsidRPr="00037964">
        <w:rPr>
          <w:rFonts w:eastAsia="Verdana"/>
        </w:rPr>
        <w:t xml:space="preserve">shall be entitled to </w:t>
      </w:r>
      <w:r w:rsidRPr="006934E8">
        <w:rPr>
          <w:rFonts w:eastAsia="Verdana"/>
        </w:rPr>
        <w:t xml:space="preserve">preliminary and permanent injunctive relief to enforce the provisions hereof; but nothing shall preclude </w:t>
      </w:r>
      <w:r w:rsidRPr="00037964">
        <w:rPr>
          <w:rFonts w:eastAsia="Verdana"/>
        </w:rPr>
        <w:t>ITS</w:t>
      </w:r>
      <w:r w:rsidRPr="00037964" w:rsidDel="00EC2EC2">
        <w:rPr>
          <w:rFonts w:eastAsia="Verdana"/>
        </w:rPr>
        <w:t xml:space="preserve"> </w:t>
      </w:r>
      <w:r w:rsidRPr="00037964">
        <w:rPr>
          <w:rFonts w:eastAsia="Verdana"/>
        </w:rPr>
        <w:t xml:space="preserve">from pursuing any action </w:t>
      </w:r>
      <w:r w:rsidRPr="006934E8">
        <w:rPr>
          <w:rFonts w:eastAsia="Verdana"/>
        </w:rPr>
        <w:t>or other remedy, including for damages, for any breach or threatened breach of this Agreement, all of which shall be cumulative.</w:t>
      </w:r>
    </w:p>
    <w:p w14:paraId="1EE97B84" w14:textId="77777777" w:rsidR="004574A9" w:rsidRPr="00D129A5" w:rsidRDefault="004574A9" w:rsidP="004574A9">
      <w:pPr>
        <w:pStyle w:val="ListParagraph"/>
        <w:numPr>
          <w:ilvl w:val="1"/>
          <w:numId w:val="23"/>
        </w:numPr>
        <w:spacing w:before="120" w:after="120"/>
        <w:contextualSpacing w:val="0"/>
        <w:rPr>
          <w:rFonts w:eastAsia="Verdana"/>
        </w:rPr>
      </w:pPr>
      <w:r w:rsidRPr="006934E8">
        <w:rPr>
          <w:rFonts w:eastAsia="Verdana"/>
        </w:rPr>
        <w:t>In the event that ITS</w:t>
      </w:r>
      <w:r w:rsidRPr="006934E8" w:rsidDel="00EC2EC2">
        <w:rPr>
          <w:rFonts w:eastAsia="Verdana"/>
        </w:rPr>
        <w:t xml:space="preserve"> </w:t>
      </w:r>
      <w:r w:rsidRPr="006934E8">
        <w:rPr>
          <w:rFonts w:eastAsia="Verdana"/>
        </w:rPr>
        <w:t>prevails in any such action, it</w:t>
      </w:r>
      <w:r w:rsidRPr="006934E8" w:rsidDel="00EC2EC2">
        <w:rPr>
          <w:rFonts w:eastAsia="Verdana"/>
        </w:rPr>
        <w:t xml:space="preserve"> </w:t>
      </w:r>
      <w:r w:rsidRPr="006934E8">
        <w:rPr>
          <w:rFonts w:eastAsia="Verdana"/>
        </w:rPr>
        <w:t xml:space="preserve">shall be entitled to recover from the </w:t>
      </w:r>
    </w:p>
    <w:p w14:paraId="7E343391" w14:textId="77777777" w:rsidR="004574A9" w:rsidRDefault="004574A9" w:rsidP="004574A9">
      <w:pPr>
        <w:pStyle w:val="ListParagraph"/>
        <w:numPr>
          <w:ilvl w:val="1"/>
          <w:numId w:val="23"/>
        </w:numPr>
        <w:spacing w:before="120" w:after="120"/>
        <w:contextualSpacing w:val="0"/>
        <w:rPr>
          <w:rFonts w:eastAsia="Verdana"/>
        </w:rPr>
      </w:pPr>
      <w:r w:rsidRPr="006934E8">
        <w:rPr>
          <w:rFonts w:eastAsia="Verdana"/>
        </w:rPr>
        <w:t>Licensee all attorneys’ fees incurred in connection therewith.</w:t>
      </w:r>
    </w:p>
    <w:p w14:paraId="33AB3FDB" w14:textId="77777777" w:rsidR="004574A9" w:rsidRPr="006934E8" w:rsidRDefault="004574A9" w:rsidP="004574A9">
      <w:pPr>
        <w:pStyle w:val="ListParagraph"/>
        <w:spacing w:before="120" w:after="120"/>
        <w:ind w:left="792"/>
        <w:contextualSpacing w:val="0"/>
        <w:rPr>
          <w:rFonts w:eastAsia="Verdana"/>
        </w:rPr>
      </w:pPr>
    </w:p>
    <w:p w14:paraId="4BBD89E7" w14:textId="77777777" w:rsidR="004574A9" w:rsidRPr="006934E8" w:rsidRDefault="004574A9" w:rsidP="004574A9">
      <w:pPr>
        <w:pStyle w:val="ListParagraph"/>
        <w:numPr>
          <w:ilvl w:val="0"/>
          <w:numId w:val="23"/>
        </w:numPr>
        <w:spacing w:before="120" w:after="120"/>
        <w:contextualSpacing w:val="0"/>
        <w:rPr>
          <w:rFonts w:eastAsia="Verdana"/>
          <w:b/>
          <w:bCs/>
        </w:rPr>
      </w:pPr>
      <w:r w:rsidRPr="006934E8">
        <w:rPr>
          <w:rFonts w:eastAsia="Verdana"/>
          <w:b/>
          <w:bCs/>
        </w:rPr>
        <w:t>Additional Provisions</w:t>
      </w:r>
    </w:p>
    <w:p w14:paraId="4160387C" w14:textId="77777777" w:rsidR="004574A9" w:rsidRPr="006934E8" w:rsidRDefault="004574A9" w:rsidP="004574A9">
      <w:pPr>
        <w:pStyle w:val="ListParagraph"/>
        <w:numPr>
          <w:ilvl w:val="1"/>
          <w:numId w:val="23"/>
        </w:numPr>
        <w:spacing w:before="120" w:after="120"/>
        <w:contextualSpacing w:val="0"/>
        <w:rPr>
          <w:rFonts w:eastAsia="Verdana"/>
        </w:rPr>
      </w:pPr>
      <w:r w:rsidRPr="00037964">
        <w:rPr>
          <w:rFonts w:eastAsia="Verdana"/>
        </w:rPr>
        <w:t>T</w:t>
      </w:r>
      <w:r w:rsidRPr="006934E8">
        <w:rPr>
          <w:rFonts w:eastAsia="Verdana"/>
        </w:rPr>
        <w:t>his Agreement is the complete and exclusive statement of the agreement between the parties and supersedes any oral or written communications or representations relating hereto.</w:t>
      </w:r>
    </w:p>
    <w:p w14:paraId="2363D786" w14:textId="77777777" w:rsidR="004574A9" w:rsidRPr="006934E8" w:rsidRDefault="004574A9" w:rsidP="004574A9">
      <w:pPr>
        <w:pStyle w:val="ListParagraph"/>
        <w:numPr>
          <w:ilvl w:val="1"/>
          <w:numId w:val="23"/>
        </w:numPr>
        <w:spacing w:before="120" w:after="120"/>
        <w:contextualSpacing w:val="0"/>
        <w:rPr>
          <w:rFonts w:eastAsia="Verdana"/>
        </w:rPr>
      </w:pPr>
      <w:r w:rsidRPr="006934E8">
        <w:rPr>
          <w:rFonts w:eastAsia="Verdana"/>
        </w:rPr>
        <w:t>Pursuant to Idaho Code § 74-120, the information provided in the Public Agency Dataset is not being distributed for use as a mailing list or telephone number list, and no list of persons found in the Public Agency Dataset may be used as a mailing list or a telephone list unless such use is expressly permitted by Idaho law.</w:t>
      </w:r>
    </w:p>
    <w:p w14:paraId="484FE76D" w14:textId="77777777" w:rsidR="004574A9" w:rsidRPr="006934E8" w:rsidRDefault="004574A9" w:rsidP="004574A9">
      <w:pPr>
        <w:pStyle w:val="ListParagraph"/>
        <w:numPr>
          <w:ilvl w:val="1"/>
          <w:numId w:val="23"/>
        </w:numPr>
        <w:spacing w:before="120" w:after="120"/>
        <w:contextualSpacing w:val="0"/>
        <w:rPr>
          <w:rFonts w:eastAsia="Verdana"/>
        </w:rPr>
      </w:pPr>
      <w:r>
        <w:rPr>
          <w:rFonts w:eastAsia="Verdana"/>
        </w:rPr>
        <w:t>ITS</w:t>
      </w:r>
      <w:r w:rsidRPr="006934E8" w:rsidDel="00EC2EC2">
        <w:rPr>
          <w:rFonts w:eastAsia="Verdana"/>
        </w:rPr>
        <w:t xml:space="preserve"> </w:t>
      </w:r>
      <w:r w:rsidRPr="006934E8">
        <w:rPr>
          <w:rFonts w:eastAsia="Verdana"/>
        </w:rPr>
        <w:t>shall provide access to the licensed data through electronic means.</w:t>
      </w:r>
    </w:p>
    <w:p w14:paraId="3C6E1FD5" w14:textId="77777777" w:rsidR="004574A9" w:rsidRPr="006934E8" w:rsidRDefault="004574A9" w:rsidP="004574A9">
      <w:pPr>
        <w:pStyle w:val="ListParagraph"/>
        <w:numPr>
          <w:ilvl w:val="1"/>
          <w:numId w:val="23"/>
        </w:numPr>
        <w:spacing w:before="120" w:after="120"/>
        <w:contextualSpacing w:val="0"/>
        <w:rPr>
          <w:rFonts w:eastAsia="Verdana"/>
        </w:rPr>
      </w:pPr>
      <w:r w:rsidRPr="006934E8">
        <w:rPr>
          <w:rFonts w:eastAsia="Verdana"/>
        </w:rPr>
        <w:t>The Licensee will do or cause to be done all things necessary to preserve its rights and meet its obligations under this License Agreement.</w:t>
      </w:r>
    </w:p>
    <w:p w14:paraId="67C8030C" w14:textId="77777777" w:rsidR="004574A9" w:rsidRPr="006934E8" w:rsidRDefault="004574A9" w:rsidP="004574A9">
      <w:pPr>
        <w:pStyle w:val="ListParagraph"/>
        <w:numPr>
          <w:ilvl w:val="1"/>
          <w:numId w:val="23"/>
        </w:numPr>
        <w:spacing w:before="120" w:after="120"/>
        <w:contextualSpacing w:val="0"/>
        <w:rPr>
          <w:rFonts w:eastAsia="Verdana"/>
        </w:rPr>
      </w:pPr>
      <w:r w:rsidRPr="006934E8">
        <w:rPr>
          <w:rFonts w:eastAsia="Verdana"/>
        </w:rPr>
        <w:t xml:space="preserve">Licensee agrees that </w:t>
      </w:r>
      <w:r w:rsidRPr="00977026">
        <w:t xml:space="preserve">it will comply with all federal, </w:t>
      </w:r>
      <w:proofErr w:type="gramStart"/>
      <w:r w:rsidRPr="00977026">
        <w:t>state</w:t>
      </w:r>
      <w:proofErr w:type="gramEnd"/>
      <w:r w:rsidRPr="00977026">
        <w:t xml:space="preserve"> and local laws, ordinances, regulations, directives and guidelines in using any of the </w:t>
      </w:r>
      <w:r>
        <w:t>Public Agency Dataset</w:t>
      </w:r>
      <w:r w:rsidRPr="00977026">
        <w:t>.</w:t>
      </w:r>
      <w:r w:rsidRPr="006934E8">
        <w:rPr>
          <w:rFonts w:eastAsia="Verdana"/>
        </w:rPr>
        <w:tab/>
      </w:r>
    </w:p>
    <w:p w14:paraId="7F29C6EF" w14:textId="77777777" w:rsidR="004574A9" w:rsidRPr="006934E8" w:rsidRDefault="004574A9" w:rsidP="004574A9">
      <w:pPr>
        <w:pStyle w:val="ListParagraph"/>
        <w:numPr>
          <w:ilvl w:val="1"/>
          <w:numId w:val="23"/>
        </w:numPr>
        <w:spacing w:before="120" w:after="120"/>
        <w:contextualSpacing w:val="0"/>
        <w:rPr>
          <w:rFonts w:eastAsia="Verdana"/>
        </w:rPr>
      </w:pPr>
      <w:r w:rsidRPr="006934E8">
        <w:rPr>
          <w:rFonts w:eastAsia="Verdana"/>
        </w:rPr>
        <w:t>This License Agreement shall be governed by the laws of the State of Idaho. The exclusive jurisdiction and venue for any lawsuit between the parties arising out of this License Agreement shall be Idaho.</w:t>
      </w:r>
    </w:p>
    <w:p w14:paraId="00C1CE64" w14:textId="77777777" w:rsidR="004574A9" w:rsidRPr="006934E8" w:rsidRDefault="004574A9" w:rsidP="004574A9">
      <w:pPr>
        <w:pStyle w:val="ListParagraph"/>
        <w:numPr>
          <w:ilvl w:val="1"/>
          <w:numId w:val="23"/>
        </w:numPr>
        <w:spacing w:before="120" w:after="120"/>
        <w:contextualSpacing w:val="0"/>
        <w:rPr>
          <w:rFonts w:eastAsia="Verdana"/>
        </w:rPr>
      </w:pPr>
      <w:r w:rsidRPr="006934E8">
        <w:rPr>
          <w:rFonts w:eastAsia="Verdana"/>
        </w:rPr>
        <w:t>If any provision of this License Agreement is determined to be invalid or unenforceable, the remaining provisions of the License Agreement shall continue to be valid and enforceable.</w:t>
      </w:r>
    </w:p>
    <w:p w14:paraId="261786B4" w14:textId="77777777" w:rsidR="004574A9" w:rsidRDefault="004574A9" w:rsidP="004574A9">
      <w:pPr>
        <w:pStyle w:val="ListParagraph"/>
        <w:numPr>
          <w:ilvl w:val="1"/>
          <w:numId w:val="23"/>
        </w:numPr>
        <w:spacing w:before="120" w:after="120"/>
        <w:contextualSpacing w:val="0"/>
        <w:rPr>
          <w:rFonts w:eastAsia="Verdana"/>
        </w:rPr>
      </w:pPr>
      <w:r>
        <w:rPr>
          <w:rFonts w:eastAsia="Verdana"/>
        </w:rPr>
        <w:lastRenderedPageBreak/>
        <w:t>ITS</w:t>
      </w:r>
      <w:r w:rsidRPr="006934E8" w:rsidDel="00EC2EC2">
        <w:rPr>
          <w:rFonts w:eastAsia="Verdana"/>
        </w:rPr>
        <w:t xml:space="preserve"> </w:t>
      </w:r>
      <w:r w:rsidRPr="006934E8">
        <w:rPr>
          <w:rFonts w:eastAsia="Verdana"/>
        </w:rPr>
        <w:t>shall in its sole discretion provide or withhold any of the above-described Public Agency Dataset as determined reasonable in any given circumstance.</w:t>
      </w:r>
    </w:p>
    <w:p w14:paraId="6F977FF4" w14:textId="1226EB2B" w:rsidR="004574A9" w:rsidRPr="004574A9" w:rsidRDefault="004574A9" w:rsidP="004574A9">
      <w:pPr>
        <w:pStyle w:val="ListParagraph"/>
        <w:numPr>
          <w:ilvl w:val="1"/>
          <w:numId w:val="23"/>
        </w:numPr>
        <w:spacing w:before="120" w:after="120"/>
        <w:contextualSpacing w:val="0"/>
        <w:rPr>
          <w:rFonts w:eastAsia="Verdana"/>
        </w:rPr>
      </w:pPr>
      <w:r w:rsidRPr="00E17793">
        <w:t xml:space="preserve">This </w:t>
      </w:r>
      <w:r>
        <w:t xml:space="preserve">License </w:t>
      </w:r>
      <w:r w:rsidRPr="00E17793">
        <w:t>Agreement may be executed in counterparts, each of which shall be deemed an original and all of which together shall be considered one and the same agreement.</w:t>
      </w:r>
    </w:p>
    <w:p w14:paraId="7A187C3A" w14:textId="1BA745D7" w:rsidR="004574A9" w:rsidRDefault="004574A9" w:rsidP="004574A9">
      <w:pPr>
        <w:spacing w:before="120" w:after="120"/>
        <w:rPr>
          <w:rFonts w:eastAsia="Verdana"/>
        </w:rPr>
      </w:pPr>
    </w:p>
    <w:p w14:paraId="7B2F106F" w14:textId="70829FAB" w:rsidR="004574A9" w:rsidRDefault="004574A9" w:rsidP="004574A9">
      <w:pPr>
        <w:spacing w:before="120" w:after="120"/>
        <w:rPr>
          <w:rFonts w:eastAsia="Verdana"/>
        </w:rPr>
      </w:pPr>
    </w:p>
    <w:p w14:paraId="5E345097" w14:textId="77777777" w:rsidR="004574A9" w:rsidRPr="004574A9" w:rsidRDefault="004574A9" w:rsidP="004574A9">
      <w:pPr>
        <w:spacing w:before="120" w:after="120"/>
        <w:rPr>
          <w:rFonts w:eastAsia="Verdana"/>
        </w:rPr>
      </w:pPr>
    </w:p>
    <w:p w14:paraId="2214B3CF" w14:textId="77777777" w:rsidR="004574A9" w:rsidRDefault="004574A9" w:rsidP="004574A9">
      <w:pPr>
        <w:spacing w:before="120" w:after="120"/>
        <w:rPr>
          <w:u w:val="single"/>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270"/>
        <w:gridCol w:w="4775"/>
      </w:tblGrid>
      <w:tr w:rsidR="004574A9" w:rsidRPr="00E310D1" w14:paraId="74585841" w14:textId="77777777" w:rsidTr="003D4053">
        <w:tc>
          <w:tcPr>
            <w:tcW w:w="4495" w:type="dxa"/>
          </w:tcPr>
          <w:p w14:paraId="59C1E9D2" w14:textId="77777777" w:rsidR="004574A9" w:rsidRPr="003A75E2" w:rsidRDefault="004574A9" w:rsidP="003D4053">
            <w:pPr>
              <w:rPr>
                <w:rFonts w:eastAsia="Arial"/>
              </w:rPr>
            </w:pPr>
            <w:r w:rsidRPr="003A75E2">
              <w:rPr>
                <w:spacing w:val="-2"/>
              </w:rPr>
              <w:t>State</w:t>
            </w:r>
            <w:r w:rsidRPr="003A75E2">
              <w:rPr>
                <w:spacing w:val="-4"/>
              </w:rPr>
              <w:t xml:space="preserve"> </w:t>
            </w:r>
            <w:r w:rsidRPr="003A75E2">
              <w:rPr>
                <w:spacing w:val="-2"/>
              </w:rPr>
              <w:t xml:space="preserve">of </w:t>
            </w:r>
            <w:r w:rsidRPr="003A75E2">
              <w:rPr>
                <w:spacing w:val="-3"/>
              </w:rPr>
              <w:t>Idaho</w:t>
            </w:r>
          </w:p>
          <w:p w14:paraId="7F340C2E" w14:textId="77777777" w:rsidR="004574A9" w:rsidRPr="003A75E2" w:rsidRDefault="004574A9" w:rsidP="003D4053">
            <w:pPr>
              <w:tabs>
                <w:tab w:val="left" w:pos="5022"/>
              </w:tabs>
              <w:rPr>
                <w:b/>
                <w:spacing w:val="-1"/>
              </w:rPr>
            </w:pPr>
            <w:r>
              <w:rPr>
                <w:b/>
                <w:spacing w:val="-2"/>
              </w:rPr>
              <w:t>Office of Information Technology Services</w:t>
            </w:r>
          </w:p>
          <w:p w14:paraId="0AC43A53" w14:textId="77777777" w:rsidR="004574A9" w:rsidRDefault="004574A9" w:rsidP="003D4053">
            <w:r>
              <w:t>11331 W. Chinden Blvd.</w:t>
            </w:r>
          </w:p>
          <w:p w14:paraId="24FE2E23" w14:textId="77777777" w:rsidR="004574A9" w:rsidRDefault="004574A9" w:rsidP="003D4053">
            <w:r>
              <w:t>Suite B201</w:t>
            </w:r>
          </w:p>
          <w:p w14:paraId="463CC018" w14:textId="77777777" w:rsidR="004574A9" w:rsidRPr="003A75E2" w:rsidRDefault="004574A9" w:rsidP="003D4053">
            <w:pPr>
              <w:rPr>
                <w:spacing w:val="-1"/>
              </w:rPr>
            </w:pPr>
            <w:r>
              <w:t>Boise, Idaho 83714</w:t>
            </w:r>
          </w:p>
          <w:p w14:paraId="23A22838" w14:textId="77777777" w:rsidR="004574A9" w:rsidRPr="003A75E2" w:rsidRDefault="004574A9" w:rsidP="003D4053">
            <w:pPr>
              <w:rPr>
                <w:spacing w:val="-1"/>
              </w:rPr>
            </w:pPr>
          </w:p>
          <w:p w14:paraId="1EEDBB78" w14:textId="77777777" w:rsidR="004574A9" w:rsidRPr="003A75E2" w:rsidRDefault="004574A9" w:rsidP="003D4053">
            <w:pPr>
              <w:rPr>
                <w:spacing w:val="-1"/>
              </w:rPr>
            </w:pPr>
          </w:p>
          <w:p w14:paraId="213DBD3E" w14:textId="77777777" w:rsidR="004574A9" w:rsidRPr="003A75E2" w:rsidRDefault="004574A9" w:rsidP="003D4053">
            <w:pPr>
              <w:rPr>
                <w:spacing w:val="-1"/>
              </w:rPr>
            </w:pPr>
          </w:p>
          <w:p w14:paraId="5891B469" w14:textId="77777777" w:rsidR="004574A9" w:rsidRPr="003A75E2" w:rsidRDefault="004574A9" w:rsidP="003D4053"/>
        </w:tc>
        <w:tc>
          <w:tcPr>
            <w:tcW w:w="270" w:type="dxa"/>
          </w:tcPr>
          <w:p w14:paraId="68C30585" w14:textId="77777777" w:rsidR="004574A9" w:rsidRPr="003A75E2" w:rsidRDefault="004574A9" w:rsidP="003D4053"/>
        </w:tc>
        <w:tc>
          <w:tcPr>
            <w:tcW w:w="4775" w:type="dxa"/>
            <w:tcBorders>
              <w:bottom w:val="single" w:sz="4" w:space="0" w:color="auto"/>
            </w:tcBorders>
          </w:tcPr>
          <w:p w14:paraId="1CB7B64E" w14:textId="77777777" w:rsidR="004574A9" w:rsidRDefault="004574A9" w:rsidP="003D4053"/>
          <w:p w14:paraId="4ED992E5" w14:textId="77777777" w:rsidR="004574A9" w:rsidRDefault="004574A9" w:rsidP="003D4053">
            <w:r>
              <w:rPr>
                <w:b/>
                <w:bCs/>
              </w:rPr>
              <w:t>Agency</w:t>
            </w:r>
          </w:p>
          <w:p w14:paraId="0BE53CC0" w14:textId="77777777" w:rsidR="004574A9" w:rsidRPr="003A75E2" w:rsidRDefault="004574A9" w:rsidP="003D4053">
            <w:r>
              <w:t>[Address]</w:t>
            </w:r>
          </w:p>
        </w:tc>
      </w:tr>
      <w:tr w:rsidR="004574A9" w:rsidRPr="00E310D1" w14:paraId="1FB38175" w14:textId="77777777" w:rsidTr="003D4053">
        <w:tc>
          <w:tcPr>
            <w:tcW w:w="4495" w:type="dxa"/>
          </w:tcPr>
          <w:p w14:paraId="7C3EB2E4" w14:textId="77777777" w:rsidR="004574A9" w:rsidRPr="003A75E2" w:rsidRDefault="004574A9" w:rsidP="003D4053">
            <w:pPr>
              <w:pBdr>
                <w:top w:val="single" w:sz="4" w:space="1" w:color="auto"/>
              </w:pBdr>
              <w:rPr>
                <w:spacing w:val="-2"/>
              </w:rPr>
            </w:pPr>
            <w:r>
              <w:rPr>
                <w:b/>
                <w:spacing w:val="-2"/>
              </w:rPr>
              <w:t>[Name]</w:t>
            </w:r>
          </w:p>
          <w:p w14:paraId="0C61C9A5" w14:textId="77777777" w:rsidR="004574A9" w:rsidRPr="003A75E2" w:rsidRDefault="004574A9" w:rsidP="003D4053">
            <w:pPr>
              <w:rPr>
                <w:spacing w:val="-2"/>
              </w:rPr>
            </w:pPr>
            <w:r>
              <w:rPr>
                <w:spacing w:val="-2"/>
              </w:rPr>
              <w:t>[Title]</w:t>
            </w:r>
          </w:p>
          <w:p w14:paraId="1E817950" w14:textId="77777777" w:rsidR="004574A9" w:rsidRPr="003A75E2" w:rsidRDefault="004574A9" w:rsidP="003D4053">
            <w:pPr>
              <w:rPr>
                <w:spacing w:val="-2"/>
              </w:rPr>
            </w:pPr>
          </w:p>
        </w:tc>
        <w:tc>
          <w:tcPr>
            <w:tcW w:w="270" w:type="dxa"/>
          </w:tcPr>
          <w:p w14:paraId="6817B8A5" w14:textId="77777777" w:rsidR="004574A9" w:rsidRPr="003A75E2" w:rsidRDefault="004574A9" w:rsidP="003D4053"/>
        </w:tc>
        <w:tc>
          <w:tcPr>
            <w:tcW w:w="4775" w:type="dxa"/>
            <w:tcBorders>
              <w:top w:val="single" w:sz="4" w:space="0" w:color="auto"/>
            </w:tcBorders>
          </w:tcPr>
          <w:p w14:paraId="71136FD3" w14:textId="77777777" w:rsidR="004574A9" w:rsidRPr="003A75E2" w:rsidRDefault="004574A9" w:rsidP="003D4053">
            <w:pPr>
              <w:pBdr>
                <w:top w:val="single" w:sz="4" w:space="1" w:color="auto"/>
              </w:pBdr>
              <w:rPr>
                <w:spacing w:val="-2"/>
              </w:rPr>
            </w:pPr>
            <w:r>
              <w:rPr>
                <w:b/>
                <w:spacing w:val="-2"/>
              </w:rPr>
              <w:t>[Name]</w:t>
            </w:r>
          </w:p>
          <w:p w14:paraId="11B5E259" w14:textId="77777777" w:rsidR="004574A9" w:rsidRPr="003A75E2" w:rsidRDefault="004574A9" w:rsidP="003D4053">
            <w:pPr>
              <w:rPr>
                <w:spacing w:val="-2"/>
              </w:rPr>
            </w:pPr>
            <w:r>
              <w:rPr>
                <w:spacing w:val="-2"/>
              </w:rPr>
              <w:t>[Title]</w:t>
            </w:r>
          </w:p>
          <w:p w14:paraId="09B92B01" w14:textId="77777777" w:rsidR="004574A9" w:rsidRPr="003A75E2" w:rsidRDefault="004574A9" w:rsidP="003D4053"/>
        </w:tc>
      </w:tr>
      <w:tr w:rsidR="004574A9" w:rsidRPr="00E310D1" w14:paraId="4252C64A" w14:textId="77777777" w:rsidTr="003D4053">
        <w:tc>
          <w:tcPr>
            <w:tcW w:w="4495" w:type="dxa"/>
            <w:tcBorders>
              <w:bottom w:val="single" w:sz="4" w:space="0" w:color="auto"/>
            </w:tcBorders>
          </w:tcPr>
          <w:p w14:paraId="447A32E8" w14:textId="77777777" w:rsidR="004574A9" w:rsidRPr="003A75E2" w:rsidRDefault="004574A9" w:rsidP="003D4053">
            <w:pPr>
              <w:rPr>
                <w:spacing w:val="-2"/>
              </w:rPr>
            </w:pPr>
          </w:p>
          <w:p w14:paraId="1EFFBA1C" w14:textId="77777777" w:rsidR="004574A9" w:rsidRPr="003A75E2" w:rsidRDefault="004574A9" w:rsidP="003D4053">
            <w:pPr>
              <w:rPr>
                <w:spacing w:val="-2"/>
              </w:rPr>
            </w:pPr>
          </w:p>
        </w:tc>
        <w:tc>
          <w:tcPr>
            <w:tcW w:w="270" w:type="dxa"/>
          </w:tcPr>
          <w:p w14:paraId="5393971E" w14:textId="77777777" w:rsidR="004574A9" w:rsidRPr="003A75E2" w:rsidRDefault="004574A9" w:rsidP="003D4053"/>
        </w:tc>
        <w:tc>
          <w:tcPr>
            <w:tcW w:w="4775" w:type="dxa"/>
            <w:tcBorders>
              <w:bottom w:val="single" w:sz="4" w:space="0" w:color="auto"/>
            </w:tcBorders>
          </w:tcPr>
          <w:p w14:paraId="601936A8" w14:textId="77777777" w:rsidR="004574A9" w:rsidRPr="003A75E2" w:rsidRDefault="004574A9" w:rsidP="003D4053"/>
        </w:tc>
      </w:tr>
      <w:tr w:rsidR="004574A9" w:rsidRPr="00E310D1" w14:paraId="05BCB834" w14:textId="77777777" w:rsidTr="003D4053">
        <w:tc>
          <w:tcPr>
            <w:tcW w:w="4495" w:type="dxa"/>
            <w:tcBorders>
              <w:top w:val="single" w:sz="4" w:space="0" w:color="auto"/>
            </w:tcBorders>
          </w:tcPr>
          <w:p w14:paraId="7C8DD700" w14:textId="77777777" w:rsidR="004574A9" w:rsidRPr="003A75E2" w:rsidRDefault="004574A9" w:rsidP="003D4053">
            <w:pPr>
              <w:rPr>
                <w:spacing w:val="-2"/>
              </w:rPr>
            </w:pPr>
            <w:r w:rsidRPr="003A75E2">
              <w:rPr>
                <w:spacing w:val="-2"/>
              </w:rPr>
              <w:t>Date</w:t>
            </w:r>
          </w:p>
        </w:tc>
        <w:tc>
          <w:tcPr>
            <w:tcW w:w="270" w:type="dxa"/>
          </w:tcPr>
          <w:p w14:paraId="687E1E33" w14:textId="77777777" w:rsidR="004574A9" w:rsidRPr="003A75E2" w:rsidRDefault="004574A9" w:rsidP="003D4053"/>
        </w:tc>
        <w:tc>
          <w:tcPr>
            <w:tcW w:w="4775" w:type="dxa"/>
            <w:tcBorders>
              <w:top w:val="single" w:sz="4" w:space="0" w:color="auto"/>
            </w:tcBorders>
          </w:tcPr>
          <w:p w14:paraId="49596677" w14:textId="77777777" w:rsidR="004574A9" w:rsidRPr="003A75E2" w:rsidRDefault="004574A9" w:rsidP="003D4053">
            <w:r w:rsidRPr="003A75E2">
              <w:t>Date</w:t>
            </w:r>
          </w:p>
        </w:tc>
      </w:tr>
    </w:tbl>
    <w:p w14:paraId="0F42C752" w14:textId="62B00805" w:rsidR="004574A9" w:rsidRDefault="004574A9" w:rsidP="004574A9">
      <w:pPr>
        <w:rPr>
          <w:u w:val="single"/>
        </w:rPr>
      </w:pPr>
    </w:p>
    <w:sectPr w:rsidR="004574A9" w:rsidSect="004574A9">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D3144" w14:textId="77777777" w:rsidR="005901D9" w:rsidRDefault="005901D9" w:rsidP="000F3272">
      <w:r>
        <w:separator/>
      </w:r>
    </w:p>
  </w:endnote>
  <w:endnote w:type="continuationSeparator" w:id="0">
    <w:p w14:paraId="7273C428" w14:textId="77777777" w:rsidR="005901D9" w:rsidRDefault="005901D9" w:rsidP="000F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7B6F" w14:textId="77777777" w:rsidR="006B695A" w:rsidRDefault="006B695A">
    <w:pPr>
      <w:spacing w:line="200" w:lineRule="exact"/>
      <w:rPr>
        <w:sz w:val="20"/>
        <w:szCs w:val="20"/>
      </w:rPr>
    </w:pPr>
  </w:p>
  <w:p w14:paraId="7F4A581C" w14:textId="77777777" w:rsidR="008E6FEB" w:rsidRDefault="008E6FEB" w:rsidP="008E6FEB">
    <w:pPr>
      <w:pStyle w:val="Footer"/>
    </w:pPr>
    <w:r w:rsidRPr="003B56B0">
      <w:rPr>
        <w:b/>
        <w:sz w:val="20"/>
        <w:szCs w:val="20"/>
      </w:rPr>
      <w:t>DATA SHARING AGREEMENT</w:t>
    </w:r>
    <w:r>
      <w:t xml:space="preserve"> </w:t>
    </w:r>
  </w:p>
  <w:p w14:paraId="27025912" w14:textId="77777777" w:rsidR="008E6FEB" w:rsidRPr="008E6FEB" w:rsidRDefault="008E6FEB" w:rsidP="008E6FEB">
    <w:pPr>
      <w:pStyle w:val="Footer"/>
      <w:rPr>
        <w:lang w:val="en-US"/>
      </w:rPr>
    </w:pPr>
    <w:r>
      <w:rPr>
        <w:lang w:val="en-US"/>
      </w:rPr>
      <w:t>05/2022</w:t>
    </w:r>
  </w:p>
  <w:p w14:paraId="5E4615BA" w14:textId="19B3EFC7" w:rsidR="006B695A" w:rsidRDefault="006B695A" w:rsidP="008E6FE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1A7DD" w14:textId="77777777" w:rsidR="005901D9" w:rsidRDefault="005901D9" w:rsidP="000F3272">
      <w:r>
        <w:separator/>
      </w:r>
    </w:p>
  </w:footnote>
  <w:footnote w:type="continuationSeparator" w:id="0">
    <w:p w14:paraId="3D104C9C" w14:textId="77777777" w:rsidR="005901D9" w:rsidRDefault="005901D9" w:rsidP="000F3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4E0C" w14:textId="77777777" w:rsidR="006B695A" w:rsidRPr="006B695A" w:rsidRDefault="006B695A" w:rsidP="006B6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69B"/>
    <w:multiLevelType w:val="hybridMultilevel"/>
    <w:tmpl w:val="FE12A2DC"/>
    <w:lvl w:ilvl="0" w:tplc="023032BE">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A021C"/>
    <w:multiLevelType w:val="hybridMultilevel"/>
    <w:tmpl w:val="416A0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7608E"/>
    <w:multiLevelType w:val="hybridMultilevel"/>
    <w:tmpl w:val="DA9404B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2558AF"/>
    <w:multiLevelType w:val="hybridMultilevel"/>
    <w:tmpl w:val="68B0A440"/>
    <w:lvl w:ilvl="0" w:tplc="D8C0F2F6">
      <w:start w:val="1"/>
      <w:numFmt w:val="decimal"/>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3524B"/>
    <w:multiLevelType w:val="hybridMultilevel"/>
    <w:tmpl w:val="0D7CA34A"/>
    <w:lvl w:ilvl="0" w:tplc="E236E2F4">
      <w:start w:val="1"/>
      <w:numFmt w:val="bullet"/>
      <w:lvlText w:val=""/>
      <w:lvlJc w:val="left"/>
      <w:pPr>
        <w:ind w:left="1440" w:hanging="360"/>
      </w:pPr>
      <w:rPr>
        <w:rFonts w:ascii="Symbol" w:hAnsi="Symbol" w:hint="default"/>
      </w:rPr>
    </w:lvl>
    <w:lvl w:ilvl="1" w:tplc="E236E2F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C766F"/>
    <w:multiLevelType w:val="hybridMultilevel"/>
    <w:tmpl w:val="9C2AA5A4"/>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6" w15:restartNumberingAfterBreak="0">
    <w:nsid w:val="27360060"/>
    <w:multiLevelType w:val="hybridMultilevel"/>
    <w:tmpl w:val="AF4A5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241F9"/>
    <w:multiLevelType w:val="multilevel"/>
    <w:tmpl w:val="DBD8942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042A1C"/>
    <w:multiLevelType w:val="hybridMultilevel"/>
    <w:tmpl w:val="052E182A"/>
    <w:lvl w:ilvl="0" w:tplc="DE6EA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BE2949"/>
    <w:multiLevelType w:val="hybridMultilevel"/>
    <w:tmpl w:val="416A031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51732D"/>
    <w:multiLevelType w:val="hybridMultilevel"/>
    <w:tmpl w:val="373203D6"/>
    <w:lvl w:ilvl="0" w:tplc="DA489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A6107C"/>
    <w:multiLevelType w:val="hybridMultilevel"/>
    <w:tmpl w:val="A78A0C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0F2607"/>
    <w:multiLevelType w:val="hybridMultilevel"/>
    <w:tmpl w:val="0AD85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845D8D"/>
    <w:multiLevelType w:val="hybridMultilevel"/>
    <w:tmpl w:val="AFF016C2"/>
    <w:lvl w:ilvl="0" w:tplc="2D08D39C">
      <w:start w:val="1"/>
      <w:numFmt w:val="decimal"/>
      <w:lvlText w:val="%1"/>
      <w:lvlJc w:val="left"/>
      <w:pPr>
        <w:ind w:left="710" w:hanging="570"/>
      </w:pPr>
      <w:rPr>
        <w:rFonts w:hint="default"/>
        <w:b/>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4" w15:restartNumberingAfterBreak="0">
    <w:nsid w:val="4EEA3DC6"/>
    <w:multiLevelType w:val="multilevel"/>
    <w:tmpl w:val="A78A0CD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F2F70EC"/>
    <w:multiLevelType w:val="multilevel"/>
    <w:tmpl w:val="4B8E083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3027F1"/>
    <w:multiLevelType w:val="hybridMultilevel"/>
    <w:tmpl w:val="01F09492"/>
    <w:lvl w:ilvl="0" w:tplc="E236E2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8931B5"/>
    <w:multiLevelType w:val="hybridMultilevel"/>
    <w:tmpl w:val="E3AA7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663704"/>
    <w:multiLevelType w:val="hybridMultilevel"/>
    <w:tmpl w:val="A0824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672A53"/>
    <w:multiLevelType w:val="hybridMultilevel"/>
    <w:tmpl w:val="CD749126"/>
    <w:lvl w:ilvl="0" w:tplc="2A9C057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910A2"/>
    <w:multiLevelType w:val="hybridMultilevel"/>
    <w:tmpl w:val="BA4C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9437A"/>
    <w:multiLevelType w:val="hybridMultilevel"/>
    <w:tmpl w:val="7A8CEF2C"/>
    <w:lvl w:ilvl="0" w:tplc="5A700AD8">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B101BD"/>
    <w:multiLevelType w:val="multilevel"/>
    <w:tmpl w:val="EC3EC120"/>
    <w:lvl w:ilvl="0">
      <w:start w:val="1"/>
      <w:numFmt w:val="decimal"/>
      <w:lvlText w:val="%1."/>
      <w:lvlJc w:val="left"/>
      <w:pPr>
        <w:ind w:left="720" w:hanging="360"/>
      </w:pPr>
      <w:rPr>
        <w:b/>
        <w:bCs/>
      </w:rPr>
    </w:lvl>
    <w:lvl w:ilvl="1">
      <w:start w:val="1"/>
      <w:numFmt w:val="decimal"/>
      <w:isLgl/>
      <w:lvlText w:val="%1.%2"/>
      <w:lvlJc w:val="left"/>
      <w:pPr>
        <w:ind w:left="1535" w:hanging="675"/>
      </w:pPr>
      <w:rPr>
        <w:rFonts w:hint="default"/>
      </w:rPr>
    </w:lvl>
    <w:lvl w:ilvl="2">
      <w:start w:val="1"/>
      <w:numFmt w:val="decimal"/>
      <w:isLgl/>
      <w:lvlText w:val="%1.%2.%3"/>
      <w:lvlJc w:val="left"/>
      <w:pPr>
        <w:ind w:left="208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440" w:hanging="1080"/>
      </w:pPr>
      <w:rPr>
        <w:rFonts w:hint="default"/>
      </w:rPr>
    </w:lvl>
    <w:lvl w:ilvl="5">
      <w:start w:val="1"/>
      <w:numFmt w:val="decimal"/>
      <w:isLgl/>
      <w:lvlText w:val="%1.%2.%3.%4.%5.%6"/>
      <w:lvlJc w:val="left"/>
      <w:pPr>
        <w:ind w:left="3940" w:hanging="1080"/>
      </w:pPr>
      <w:rPr>
        <w:rFonts w:hint="default"/>
      </w:rPr>
    </w:lvl>
    <w:lvl w:ilvl="6">
      <w:start w:val="1"/>
      <w:numFmt w:val="decimal"/>
      <w:isLgl/>
      <w:lvlText w:val="%1.%2.%3.%4.%5.%6.%7"/>
      <w:lvlJc w:val="left"/>
      <w:pPr>
        <w:ind w:left="4800" w:hanging="1440"/>
      </w:pPr>
      <w:rPr>
        <w:rFonts w:hint="default"/>
      </w:rPr>
    </w:lvl>
    <w:lvl w:ilvl="7">
      <w:start w:val="1"/>
      <w:numFmt w:val="decimal"/>
      <w:isLgl/>
      <w:lvlText w:val="%1.%2.%3.%4.%5.%6.%7.%8"/>
      <w:lvlJc w:val="left"/>
      <w:pPr>
        <w:ind w:left="5300" w:hanging="1440"/>
      </w:pPr>
      <w:rPr>
        <w:rFonts w:hint="default"/>
      </w:rPr>
    </w:lvl>
    <w:lvl w:ilvl="8">
      <w:start w:val="1"/>
      <w:numFmt w:val="decimal"/>
      <w:isLgl/>
      <w:lvlText w:val="%1.%2.%3.%4.%5.%6.%7.%8.%9"/>
      <w:lvlJc w:val="left"/>
      <w:pPr>
        <w:ind w:left="6160" w:hanging="1800"/>
      </w:pPr>
      <w:rPr>
        <w:rFonts w:hint="default"/>
      </w:rPr>
    </w:lvl>
  </w:abstractNum>
  <w:abstractNum w:abstractNumId="23" w15:restartNumberingAfterBreak="0">
    <w:nsid w:val="7D410007"/>
    <w:multiLevelType w:val="hybridMultilevel"/>
    <w:tmpl w:val="9648CAD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29195751">
    <w:abstractNumId w:val="1"/>
  </w:num>
  <w:num w:numId="2" w16cid:durableId="630863436">
    <w:abstractNumId w:val="3"/>
  </w:num>
  <w:num w:numId="3" w16cid:durableId="270675326">
    <w:abstractNumId w:val="6"/>
  </w:num>
  <w:num w:numId="4" w16cid:durableId="2135712414">
    <w:abstractNumId w:val="8"/>
  </w:num>
  <w:num w:numId="5" w16cid:durableId="2094158437">
    <w:abstractNumId w:val="10"/>
  </w:num>
  <w:num w:numId="6" w16cid:durableId="2065909209">
    <w:abstractNumId w:val="21"/>
  </w:num>
  <w:num w:numId="7" w16cid:durableId="873157023">
    <w:abstractNumId w:val="0"/>
  </w:num>
  <w:num w:numId="8" w16cid:durableId="2019572729">
    <w:abstractNumId w:val="17"/>
  </w:num>
  <w:num w:numId="9" w16cid:durableId="68580420">
    <w:abstractNumId w:val="20"/>
  </w:num>
  <w:num w:numId="10" w16cid:durableId="1986855777">
    <w:abstractNumId w:val="2"/>
  </w:num>
  <w:num w:numId="11" w16cid:durableId="1457218448">
    <w:abstractNumId w:val="4"/>
  </w:num>
  <w:num w:numId="12" w16cid:durableId="1969314875">
    <w:abstractNumId w:val="16"/>
  </w:num>
  <w:num w:numId="13" w16cid:durableId="631249507">
    <w:abstractNumId w:val="11"/>
  </w:num>
  <w:num w:numId="14" w16cid:durableId="7365656">
    <w:abstractNumId w:val="14"/>
  </w:num>
  <w:num w:numId="15" w16cid:durableId="572620635">
    <w:abstractNumId w:val="12"/>
  </w:num>
  <w:num w:numId="16" w16cid:durableId="1703820693">
    <w:abstractNumId w:val="23"/>
  </w:num>
  <w:num w:numId="17" w16cid:durableId="247429413">
    <w:abstractNumId w:val="9"/>
  </w:num>
  <w:num w:numId="18" w16cid:durableId="1839727120">
    <w:abstractNumId w:val="15"/>
  </w:num>
  <w:num w:numId="19" w16cid:durableId="599995185">
    <w:abstractNumId w:val="13"/>
  </w:num>
  <w:num w:numId="20" w16cid:durableId="1427654376">
    <w:abstractNumId w:val="22"/>
  </w:num>
  <w:num w:numId="21" w16cid:durableId="144514864">
    <w:abstractNumId w:val="5"/>
  </w:num>
  <w:num w:numId="22" w16cid:durableId="2026049736">
    <w:abstractNumId w:val="18"/>
  </w:num>
  <w:num w:numId="23" w16cid:durableId="1309020028">
    <w:abstractNumId w:val="7"/>
  </w:num>
  <w:num w:numId="24" w16cid:durableId="15989768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901" w:allStyles="1" w:customStyles="0" w:latentStyles="0" w:stylesInUse="0" w:headingStyles="0" w:numberingStyles="0" w:tableStyles="0" w:directFormattingOnRuns="1" w:directFormattingOnParagraphs="0"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DA"/>
    <w:rsid w:val="000017D1"/>
    <w:rsid w:val="00001D1F"/>
    <w:rsid w:val="00004B83"/>
    <w:rsid w:val="0000620C"/>
    <w:rsid w:val="00006305"/>
    <w:rsid w:val="000125E3"/>
    <w:rsid w:val="00012D96"/>
    <w:rsid w:val="0001337F"/>
    <w:rsid w:val="00016601"/>
    <w:rsid w:val="000167CB"/>
    <w:rsid w:val="0001691A"/>
    <w:rsid w:val="00020BB2"/>
    <w:rsid w:val="00020D7C"/>
    <w:rsid w:val="000219A0"/>
    <w:rsid w:val="0002302B"/>
    <w:rsid w:val="000265E5"/>
    <w:rsid w:val="00027DE0"/>
    <w:rsid w:val="00031256"/>
    <w:rsid w:val="000324B3"/>
    <w:rsid w:val="00034615"/>
    <w:rsid w:val="00037964"/>
    <w:rsid w:val="0004047C"/>
    <w:rsid w:val="00040AD7"/>
    <w:rsid w:val="000427C8"/>
    <w:rsid w:val="000435BD"/>
    <w:rsid w:val="00046493"/>
    <w:rsid w:val="00050593"/>
    <w:rsid w:val="00050F75"/>
    <w:rsid w:val="000539EC"/>
    <w:rsid w:val="00055043"/>
    <w:rsid w:val="00056AC3"/>
    <w:rsid w:val="000601DA"/>
    <w:rsid w:val="00062A2A"/>
    <w:rsid w:val="000644D2"/>
    <w:rsid w:val="0006660A"/>
    <w:rsid w:val="00071119"/>
    <w:rsid w:val="00074727"/>
    <w:rsid w:val="00074D21"/>
    <w:rsid w:val="00074F82"/>
    <w:rsid w:val="00074FC9"/>
    <w:rsid w:val="0007569D"/>
    <w:rsid w:val="000761C4"/>
    <w:rsid w:val="00080793"/>
    <w:rsid w:val="00080960"/>
    <w:rsid w:val="000822B6"/>
    <w:rsid w:val="00082BF0"/>
    <w:rsid w:val="000845D6"/>
    <w:rsid w:val="00084F8D"/>
    <w:rsid w:val="00085027"/>
    <w:rsid w:val="00094985"/>
    <w:rsid w:val="00095F1D"/>
    <w:rsid w:val="00097219"/>
    <w:rsid w:val="000977A8"/>
    <w:rsid w:val="00097D74"/>
    <w:rsid w:val="000A037F"/>
    <w:rsid w:val="000A0BE7"/>
    <w:rsid w:val="000A0EAB"/>
    <w:rsid w:val="000A17A8"/>
    <w:rsid w:val="000A60C8"/>
    <w:rsid w:val="000B03EE"/>
    <w:rsid w:val="000B5BB6"/>
    <w:rsid w:val="000B634B"/>
    <w:rsid w:val="000C003E"/>
    <w:rsid w:val="000C365E"/>
    <w:rsid w:val="000C6B23"/>
    <w:rsid w:val="000D087F"/>
    <w:rsid w:val="000D254B"/>
    <w:rsid w:val="000D2AAB"/>
    <w:rsid w:val="000D2E3E"/>
    <w:rsid w:val="000D4EB7"/>
    <w:rsid w:val="000D7467"/>
    <w:rsid w:val="000E080E"/>
    <w:rsid w:val="000E7C25"/>
    <w:rsid w:val="000F0B33"/>
    <w:rsid w:val="000F3272"/>
    <w:rsid w:val="000F379D"/>
    <w:rsid w:val="000F3CB2"/>
    <w:rsid w:val="000F4270"/>
    <w:rsid w:val="000F6C2B"/>
    <w:rsid w:val="000F6E44"/>
    <w:rsid w:val="000F7411"/>
    <w:rsid w:val="000F7C62"/>
    <w:rsid w:val="001008E7"/>
    <w:rsid w:val="001027F9"/>
    <w:rsid w:val="00103DA9"/>
    <w:rsid w:val="00104802"/>
    <w:rsid w:val="001055CF"/>
    <w:rsid w:val="00105AEB"/>
    <w:rsid w:val="0010611A"/>
    <w:rsid w:val="00110B89"/>
    <w:rsid w:val="00111085"/>
    <w:rsid w:val="00114532"/>
    <w:rsid w:val="00114D7F"/>
    <w:rsid w:val="00122BF8"/>
    <w:rsid w:val="0012411B"/>
    <w:rsid w:val="00127223"/>
    <w:rsid w:val="00130AD2"/>
    <w:rsid w:val="00137885"/>
    <w:rsid w:val="00143C27"/>
    <w:rsid w:val="0015124F"/>
    <w:rsid w:val="00152182"/>
    <w:rsid w:val="0015345C"/>
    <w:rsid w:val="001548D8"/>
    <w:rsid w:val="001552B9"/>
    <w:rsid w:val="00156422"/>
    <w:rsid w:val="00157710"/>
    <w:rsid w:val="00164AC9"/>
    <w:rsid w:val="00167EF9"/>
    <w:rsid w:val="00173BB9"/>
    <w:rsid w:val="00175F26"/>
    <w:rsid w:val="0018198D"/>
    <w:rsid w:val="00182E6A"/>
    <w:rsid w:val="00183B56"/>
    <w:rsid w:val="00185CB1"/>
    <w:rsid w:val="00186617"/>
    <w:rsid w:val="00190151"/>
    <w:rsid w:val="00190278"/>
    <w:rsid w:val="0019071E"/>
    <w:rsid w:val="00191715"/>
    <w:rsid w:val="00192476"/>
    <w:rsid w:val="00193953"/>
    <w:rsid w:val="00193D80"/>
    <w:rsid w:val="001A24A6"/>
    <w:rsid w:val="001A2FBC"/>
    <w:rsid w:val="001A3670"/>
    <w:rsid w:val="001A40EE"/>
    <w:rsid w:val="001A4761"/>
    <w:rsid w:val="001B0593"/>
    <w:rsid w:val="001B191F"/>
    <w:rsid w:val="001B453E"/>
    <w:rsid w:val="001B4719"/>
    <w:rsid w:val="001B7A92"/>
    <w:rsid w:val="001B7F0B"/>
    <w:rsid w:val="001C1A5F"/>
    <w:rsid w:val="001C1E49"/>
    <w:rsid w:val="001C4128"/>
    <w:rsid w:val="001C4E34"/>
    <w:rsid w:val="001C5D24"/>
    <w:rsid w:val="001D06D8"/>
    <w:rsid w:val="001D077A"/>
    <w:rsid w:val="001D29BF"/>
    <w:rsid w:val="001D645F"/>
    <w:rsid w:val="001D6F77"/>
    <w:rsid w:val="001D7FD7"/>
    <w:rsid w:val="001E2BC3"/>
    <w:rsid w:val="001E317D"/>
    <w:rsid w:val="001E385F"/>
    <w:rsid w:val="001E4E9E"/>
    <w:rsid w:val="001E50AB"/>
    <w:rsid w:val="001E6CE9"/>
    <w:rsid w:val="001F0976"/>
    <w:rsid w:val="001F6855"/>
    <w:rsid w:val="001F7145"/>
    <w:rsid w:val="001F7C76"/>
    <w:rsid w:val="00202E8E"/>
    <w:rsid w:val="00212153"/>
    <w:rsid w:val="0021414E"/>
    <w:rsid w:val="00214ECA"/>
    <w:rsid w:val="002171BC"/>
    <w:rsid w:val="00217FC3"/>
    <w:rsid w:val="002310CE"/>
    <w:rsid w:val="002313E1"/>
    <w:rsid w:val="00232E28"/>
    <w:rsid w:val="0024175C"/>
    <w:rsid w:val="00244BEE"/>
    <w:rsid w:val="00250E60"/>
    <w:rsid w:val="00252860"/>
    <w:rsid w:val="00252E65"/>
    <w:rsid w:val="00252E94"/>
    <w:rsid w:val="00253E5F"/>
    <w:rsid w:val="00260C7C"/>
    <w:rsid w:val="00261BF6"/>
    <w:rsid w:val="00264151"/>
    <w:rsid w:val="00271014"/>
    <w:rsid w:val="002713D2"/>
    <w:rsid w:val="00273558"/>
    <w:rsid w:val="00274214"/>
    <w:rsid w:val="002769D3"/>
    <w:rsid w:val="002771D2"/>
    <w:rsid w:val="002777C7"/>
    <w:rsid w:val="00281924"/>
    <w:rsid w:val="00281C70"/>
    <w:rsid w:val="00282689"/>
    <w:rsid w:val="002844C1"/>
    <w:rsid w:val="00286108"/>
    <w:rsid w:val="00292BEA"/>
    <w:rsid w:val="00295F6C"/>
    <w:rsid w:val="00296DFB"/>
    <w:rsid w:val="002A019C"/>
    <w:rsid w:val="002A1733"/>
    <w:rsid w:val="002A3EBA"/>
    <w:rsid w:val="002B26A8"/>
    <w:rsid w:val="002B2CDB"/>
    <w:rsid w:val="002B445B"/>
    <w:rsid w:val="002B65CA"/>
    <w:rsid w:val="002B7E8D"/>
    <w:rsid w:val="002C1AB4"/>
    <w:rsid w:val="002C698B"/>
    <w:rsid w:val="002D091F"/>
    <w:rsid w:val="002D51AB"/>
    <w:rsid w:val="002D51D2"/>
    <w:rsid w:val="002D76FC"/>
    <w:rsid w:val="002E4342"/>
    <w:rsid w:val="002E450A"/>
    <w:rsid w:val="002E4A87"/>
    <w:rsid w:val="002E5494"/>
    <w:rsid w:val="002F4332"/>
    <w:rsid w:val="002F46D9"/>
    <w:rsid w:val="002F6377"/>
    <w:rsid w:val="002F644F"/>
    <w:rsid w:val="002F79E8"/>
    <w:rsid w:val="003007A4"/>
    <w:rsid w:val="003012C0"/>
    <w:rsid w:val="00301820"/>
    <w:rsid w:val="003078CD"/>
    <w:rsid w:val="003079F8"/>
    <w:rsid w:val="003133E4"/>
    <w:rsid w:val="00313AFB"/>
    <w:rsid w:val="0031745A"/>
    <w:rsid w:val="00320D8C"/>
    <w:rsid w:val="00323169"/>
    <w:rsid w:val="00324AF7"/>
    <w:rsid w:val="003254B4"/>
    <w:rsid w:val="00326837"/>
    <w:rsid w:val="00334125"/>
    <w:rsid w:val="00341D2D"/>
    <w:rsid w:val="00345766"/>
    <w:rsid w:val="00345918"/>
    <w:rsid w:val="00347FB6"/>
    <w:rsid w:val="003538D4"/>
    <w:rsid w:val="003538F1"/>
    <w:rsid w:val="00353C53"/>
    <w:rsid w:val="00355C04"/>
    <w:rsid w:val="00362EF9"/>
    <w:rsid w:val="00363395"/>
    <w:rsid w:val="003648E3"/>
    <w:rsid w:val="00372669"/>
    <w:rsid w:val="00374019"/>
    <w:rsid w:val="003836C5"/>
    <w:rsid w:val="003849B7"/>
    <w:rsid w:val="0038510A"/>
    <w:rsid w:val="00385AA7"/>
    <w:rsid w:val="00386FE8"/>
    <w:rsid w:val="00387FC1"/>
    <w:rsid w:val="00393575"/>
    <w:rsid w:val="00393917"/>
    <w:rsid w:val="00393D18"/>
    <w:rsid w:val="00393FDB"/>
    <w:rsid w:val="0039568E"/>
    <w:rsid w:val="003959E4"/>
    <w:rsid w:val="003966CA"/>
    <w:rsid w:val="00397B73"/>
    <w:rsid w:val="003A196A"/>
    <w:rsid w:val="003A3AC0"/>
    <w:rsid w:val="003A6F14"/>
    <w:rsid w:val="003A75E2"/>
    <w:rsid w:val="003B141E"/>
    <w:rsid w:val="003B4F84"/>
    <w:rsid w:val="003B56B0"/>
    <w:rsid w:val="003B6C72"/>
    <w:rsid w:val="003C2C4A"/>
    <w:rsid w:val="003C4D74"/>
    <w:rsid w:val="003C4FE0"/>
    <w:rsid w:val="003C5A63"/>
    <w:rsid w:val="003C5D69"/>
    <w:rsid w:val="003C6B40"/>
    <w:rsid w:val="003C6FFC"/>
    <w:rsid w:val="003D1327"/>
    <w:rsid w:val="003D278B"/>
    <w:rsid w:val="003D4205"/>
    <w:rsid w:val="003D6910"/>
    <w:rsid w:val="003E2A8D"/>
    <w:rsid w:val="003E367C"/>
    <w:rsid w:val="003E6DA7"/>
    <w:rsid w:val="003E6E12"/>
    <w:rsid w:val="003F4E86"/>
    <w:rsid w:val="003F5238"/>
    <w:rsid w:val="003F5277"/>
    <w:rsid w:val="00400C16"/>
    <w:rsid w:val="004045AB"/>
    <w:rsid w:val="00404891"/>
    <w:rsid w:val="00404C1D"/>
    <w:rsid w:val="00404EC4"/>
    <w:rsid w:val="00412DF3"/>
    <w:rsid w:val="004166DC"/>
    <w:rsid w:val="004167FE"/>
    <w:rsid w:val="00417226"/>
    <w:rsid w:val="0041788C"/>
    <w:rsid w:val="00420436"/>
    <w:rsid w:val="004248EF"/>
    <w:rsid w:val="00426B7A"/>
    <w:rsid w:val="00427630"/>
    <w:rsid w:val="0043191E"/>
    <w:rsid w:val="004326E1"/>
    <w:rsid w:val="0043388E"/>
    <w:rsid w:val="00437BCB"/>
    <w:rsid w:val="00443E85"/>
    <w:rsid w:val="004443C7"/>
    <w:rsid w:val="004450D9"/>
    <w:rsid w:val="00445853"/>
    <w:rsid w:val="00445AC0"/>
    <w:rsid w:val="00445DB4"/>
    <w:rsid w:val="00447F2E"/>
    <w:rsid w:val="00450CF0"/>
    <w:rsid w:val="00451ED5"/>
    <w:rsid w:val="00453BAC"/>
    <w:rsid w:val="00454243"/>
    <w:rsid w:val="004565D0"/>
    <w:rsid w:val="00456EC1"/>
    <w:rsid w:val="004574A9"/>
    <w:rsid w:val="004664ED"/>
    <w:rsid w:val="00470C0C"/>
    <w:rsid w:val="00472011"/>
    <w:rsid w:val="004760AC"/>
    <w:rsid w:val="00480F69"/>
    <w:rsid w:val="0048126C"/>
    <w:rsid w:val="004817CE"/>
    <w:rsid w:val="0048489F"/>
    <w:rsid w:val="00485513"/>
    <w:rsid w:val="00490EB4"/>
    <w:rsid w:val="004921DF"/>
    <w:rsid w:val="004924BA"/>
    <w:rsid w:val="00495A7E"/>
    <w:rsid w:val="00497864"/>
    <w:rsid w:val="004A0557"/>
    <w:rsid w:val="004A0F23"/>
    <w:rsid w:val="004A3966"/>
    <w:rsid w:val="004A3A2E"/>
    <w:rsid w:val="004A61C9"/>
    <w:rsid w:val="004B220C"/>
    <w:rsid w:val="004B3D1A"/>
    <w:rsid w:val="004B46A7"/>
    <w:rsid w:val="004B56B0"/>
    <w:rsid w:val="004B608A"/>
    <w:rsid w:val="004B63AF"/>
    <w:rsid w:val="004C3028"/>
    <w:rsid w:val="004C3CDE"/>
    <w:rsid w:val="004C71B9"/>
    <w:rsid w:val="004C793E"/>
    <w:rsid w:val="004C7D5B"/>
    <w:rsid w:val="004D241D"/>
    <w:rsid w:val="004D3521"/>
    <w:rsid w:val="004D54EA"/>
    <w:rsid w:val="004E0054"/>
    <w:rsid w:val="004E1D4E"/>
    <w:rsid w:val="004E23EC"/>
    <w:rsid w:val="004E3591"/>
    <w:rsid w:val="004E3CDB"/>
    <w:rsid w:val="004F0B24"/>
    <w:rsid w:val="004F37D7"/>
    <w:rsid w:val="004F3A27"/>
    <w:rsid w:val="004F7CBE"/>
    <w:rsid w:val="0050175C"/>
    <w:rsid w:val="00504510"/>
    <w:rsid w:val="005048A4"/>
    <w:rsid w:val="00507B37"/>
    <w:rsid w:val="00510C95"/>
    <w:rsid w:val="00513F09"/>
    <w:rsid w:val="00517D19"/>
    <w:rsid w:val="00521ED7"/>
    <w:rsid w:val="00532769"/>
    <w:rsid w:val="00537DCB"/>
    <w:rsid w:val="00540ED8"/>
    <w:rsid w:val="00544C0F"/>
    <w:rsid w:val="005463FD"/>
    <w:rsid w:val="0054659F"/>
    <w:rsid w:val="00551E6B"/>
    <w:rsid w:val="00552071"/>
    <w:rsid w:val="005522DF"/>
    <w:rsid w:val="00552421"/>
    <w:rsid w:val="00553ABC"/>
    <w:rsid w:val="005553BE"/>
    <w:rsid w:val="00561627"/>
    <w:rsid w:val="0056361A"/>
    <w:rsid w:val="00563E82"/>
    <w:rsid w:val="00563F42"/>
    <w:rsid w:val="005672D7"/>
    <w:rsid w:val="00567B05"/>
    <w:rsid w:val="00570F49"/>
    <w:rsid w:val="005726AC"/>
    <w:rsid w:val="0057383E"/>
    <w:rsid w:val="00575451"/>
    <w:rsid w:val="005778C8"/>
    <w:rsid w:val="00582A4F"/>
    <w:rsid w:val="00582F50"/>
    <w:rsid w:val="00583282"/>
    <w:rsid w:val="00585216"/>
    <w:rsid w:val="005866D6"/>
    <w:rsid w:val="00586700"/>
    <w:rsid w:val="005869F6"/>
    <w:rsid w:val="005901D9"/>
    <w:rsid w:val="00590346"/>
    <w:rsid w:val="00590D76"/>
    <w:rsid w:val="00591A5C"/>
    <w:rsid w:val="00591D00"/>
    <w:rsid w:val="005935DB"/>
    <w:rsid w:val="00596C9C"/>
    <w:rsid w:val="005A4228"/>
    <w:rsid w:val="005A422E"/>
    <w:rsid w:val="005A5153"/>
    <w:rsid w:val="005A5DEC"/>
    <w:rsid w:val="005B1763"/>
    <w:rsid w:val="005B1A09"/>
    <w:rsid w:val="005B48B0"/>
    <w:rsid w:val="005B4ED6"/>
    <w:rsid w:val="005B64D2"/>
    <w:rsid w:val="005B6661"/>
    <w:rsid w:val="005C18D3"/>
    <w:rsid w:val="005C35FF"/>
    <w:rsid w:val="005C4701"/>
    <w:rsid w:val="005D0C1B"/>
    <w:rsid w:val="005D0D07"/>
    <w:rsid w:val="005D2121"/>
    <w:rsid w:val="005D24ED"/>
    <w:rsid w:val="005D339A"/>
    <w:rsid w:val="005D546C"/>
    <w:rsid w:val="005D6988"/>
    <w:rsid w:val="005D7E3B"/>
    <w:rsid w:val="005E06C4"/>
    <w:rsid w:val="005E089C"/>
    <w:rsid w:val="005E0CF2"/>
    <w:rsid w:val="005E1990"/>
    <w:rsid w:val="005E3581"/>
    <w:rsid w:val="005E6365"/>
    <w:rsid w:val="005E6FC5"/>
    <w:rsid w:val="005E7821"/>
    <w:rsid w:val="005F27BC"/>
    <w:rsid w:val="005F5934"/>
    <w:rsid w:val="005F73DE"/>
    <w:rsid w:val="006001DD"/>
    <w:rsid w:val="0060083B"/>
    <w:rsid w:val="00602595"/>
    <w:rsid w:val="00602CA8"/>
    <w:rsid w:val="006039F8"/>
    <w:rsid w:val="00605319"/>
    <w:rsid w:val="00606594"/>
    <w:rsid w:val="0060685C"/>
    <w:rsid w:val="006105DD"/>
    <w:rsid w:val="0061287D"/>
    <w:rsid w:val="00612AF1"/>
    <w:rsid w:val="006134B4"/>
    <w:rsid w:val="006138E3"/>
    <w:rsid w:val="006145C1"/>
    <w:rsid w:val="00615328"/>
    <w:rsid w:val="006211AE"/>
    <w:rsid w:val="00622423"/>
    <w:rsid w:val="0062265F"/>
    <w:rsid w:val="00623207"/>
    <w:rsid w:val="0062423C"/>
    <w:rsid w:val="0062555E"/>
    <w:rsid w:val="00627AFF"/>
    <w:rsid w:val="00631EC7"/>
    <w:rsid w:val="00632734"/>
    <w:rsid w:val="00632D91"/>
    <w:rsid w:val="00633062"/>
    <w:rsid w:val="00635D32"/>
    <w:rsid w:val="00635D89"/>
    <w:rsid w:val="00636883"/>
    <w:rsid w:val="0064062F"/>
    <w:rsid w:val="00645D1F"/>
    <w:rsid w:val="00650D8C"/>
    <w:rsid w:val="00651672"/>
    <w:rsid w:val="0065206D"/>
    <w:rsid w:val="00657213"/>
    <w:rsid w:val="006618DB"/>
    <w:rsid w:val="006618EA"/>
    <w:rsid w:val="006624EE"/>
    <w:rsid w:val="00662DD3"/>
    <w:rsid w:val="00663838"/>
    <w:rsid w:val="00663BFB"/>
    <w:rsid w:val="0066587F"/>
    <w:rsid w:val="00665C0D"/>
    <w:rsid w:val="00665C11"/>
    <w:rsid w:val="00665E3C"/>
    <w:rsid w:val="00667118"/>
    <w:rsid w:val="006715BC"/>
    <w:rsid w:val="00674BA4"/>
    <w:rsid w:val="00675F7F"/>
    <w:rsid w:val="00682E78"/>
    <w:rsid w:val="0068482E"/>
    <w:rsid w:val="006858E7"/>
    <w:rsid w:val="006872F6"/>
    <w:rsid w:val="0068760A"/>
    <w:rsid w:val="006878F0"/>
    <w:rsid w:val="00687DC0"/>
    <w:rsid w:val="00690805"/>
    <w:rsid w:val="00692B01"/>
    <w:rsid w:val="006934E8"/>
    <w:rsid w:val="00694E2D"/>
    <w:rsid w:val="00695207"/>
    <w:rsid w:val="00695245"/>
    <w:rsid w:val="006967D0"/>
    <w:rsid w:val="006A51D3"/>
    <w:rsid w:val="006A5DE0"/>
    <w:rsid w:val="006A6743"/>
    <w:rsid w:val="006A6E21"/>
    <w:rsid w:val="006B13B1"/>
    <w:rsid w:val="006B1899"/>
    <w:rsid w:val="006B248D"/>
    <w:rsid w:val="006B695A"/>
    <w:rsid w:val="006B6D90"/>
    <w:rsid w:val="006B76FB"/>
    <w:rsid w:val="006B7F4F"/>
    <w:rsid w:val="006C0F08"/>
    <w:rsid w:val="006C0FA3"/>
    <w:rsid w:val="006C1F6E"/>
    <w:rsid w:val="006C51D5"/>
    <w:rsid w:val="006D140F"/>
    <w:rsid w:val="006D392E"/>
    <w:rsid w:val="006D785F"/>
    <w:rsid w:val="006E0A95"/>
    <w:rsid w:val="006E15CD"/>
    <w:rsid w:val="006E303F"/>
    <w:rsid w:val="006E5235"/>
    <w:rsid w:val="006E55D4"/>
    <w:rsid w:val="006E70A0"/>
    <w:rsid w:val="006F1052"/>
    <w:rsid w:val="006F64F8"/>
    <w:rsid w:val="00715F33"/>
    <w:rsid w:val="00716C68"/>
    <w:rsid w:val="0071733A"/>
    <w:rsid w:val="00717645"/>
    <w:rsid w:val="0071764B"/>
    <w:rsid w:val="00717EFC"/>
    <w:rsid w:val="00723DB0"/>
    <w:rsid w:val="007241B9"/>
    <w:rsid w:val="00727E33"/>
    <w:rsid w:val="00733108"/>
    <w:rsid w:val="00733989"/>
    <w:rsid w:val="007341EF"/>
    <w:rsid w:val="007413A4"/>
    <w:rsid w:val="00744D57"/>
    <w:rsid w:val="00746547"/>
    <w:rsid w:val="0074654A"/>
    <w:rsid w:val="007500AA"/>
    <w:rsid w:val="0075118D"/>
    <w:rsid w:val="00752384"/>
    <w:rsid w:val="00752BAE"/>
    <w:rsid w:val="00754628"/>
    <w:rsid w:val="00755884"/>
    <w:rsid w:val="00763A30"/>
    <w:rsid w:val="00764728"/>
    <w:rsid w:val="00765C1E"/>
    <w:rsid w:val="0076600A"/>
    <w:rsid w:val="007671CC"/>
    <w:rsid w:val="007704E8"/>
    <w:rsid w:val="00770B76"/>
    <w:rsid w:val="00772EFA"/>
    <w:rsid w:val="007737D4"/>
    <w:rsid w:val="00774DDB"/>
    <w:rsid w:val="00775476"/>
    <w:rsid w:val="00775B4E"/>
    <w:rsid w:val="0078117D"/>
    <w:rsid w:val="007829C4"/>
    <w:rsid w:val="007871B6"/>
    <w:rsid w:val="00790C08"/>
    <w:rsid w:val="00793B73"/>
    <w:rsid w:val="00794C25"/>
    <w:rsid w:val="00795299"/>
    <w:rsid w:val="00795E1A"/>
    <w:rsid w:val="007A0124"/>
    <w:rsid w:val="007A1D03"/>
    <w:rsid w:val="007A20C3"/>
    <w:rsid w:val="007A4722"/>
    <w:rsid w:val="007A592C"/>
    <w:rsid w:val="007A79CF"/>
    <w:rsid w:val="007B29FF"/>
    <w:rsid w:val="007B2E60"/>
    <w:rsid w:val="007B75EE"/>
    <w:rsid w:val="007B7AB5"/>
    <w:rsid w:val="007C1ECB"/>
    <w:rsid w:val="007C2710"/>
    <w:rsid w:val="007C318F"/>
    <w:rsid w:val="007C48A0"/>
    <w:rsid w:val="007C4D23"/>
    <w:rsid w:val="007C5415"/>
    <w:rsid w:val="007C678D"/>
    <w:rsid w:val="007D16C2"/>
    <w:rsid w:val="007D1DC9"/>
    <w:rsid w:val="007D5E30"/>
    <w:rsid w:val="007E2E00"/>
    <w:rsid w:val="007E3419"/>
    <w:rsid w:val="007E40DA"/>
    <w:rsid w:val="007E4F0B"/>
    <w:rsid w:val="007F0BD0"/>
    <w:rsid w:val="007F291C"/>
    <w:rsid w:val="007F29BC"/>
    <w:rsid w:val="007F41E4"/>
    <w:rsid w:val="007F7C9D"/>
    <w:rsid w:val="0080058D"/>
    <w:rsid w:val="0080066C"/>
    <w:rsid w:val="0080114C"/>
    <w:rsid w:val="00801FE9"/>
    <w:rsid w:val="00802A07"/>
    <w:rsid w:val="00802D88"/>
    <w:rsid w:val="00804652"/>
    <w:rsid w:val="00806D43"/>
    <w:rsid w:val="00807681"/>
    <w:rsid w:val="0080773D"/>
    <w:rsid w:val="0080788C"/>
    <w:rsid w:val="008106A2"/>
    <w:rsid w:val="00810C8B"/>
    <w:rsid w:val="0081123D"/>
    <w:rsid w:val="00811C8B"/>
    <w:rsid w:val="00813901"/>
    <w:rsid w:val="00813A99"/>
    <w:rsid w:val="008159DF"/>
    <w:rsid w:val="00816305"/>
    <w:rsid w:val="00820D37"/>
    <w:rsid w:val="00823FC9"/>
    <w:rsid w:val="00824926"/>
    <w:rsid w:val="008250C8"/>
    <w:rsid w:val="008263A4"/>
    <w:rsid w:val="00826B81"/>
    <w:rsid w:val="00830E2C"/>
    <w:rsid w:val="008312C1"/>
    <w:rsid w:val="008323C9"/>
    <w:rsid w:val="0083395E"/>
    <w:rsid w:val="00834099"/>
    <w:rsid w:val="0083443F"/>
    <w:rsid w:val="00836283"/>
    <w:rsid w:val="008408AE"/>
    <w:rsid w:val="00841079"/>
    <w:rsid w:val="00844B0D"/>
    <w:rsid w:val="00845354"/>
    <w:rsid w:val="008468F2"/>
    <w:rsid w:val="008500B3"/>
    <w:rsid w:val="00850EF3"/>
    <w:rsid w:val="00851071"/>
    <w:rsid w:val="008510D1"/>
    <w:rsid w:val="00856DEA"/>
    <w:rsid w:val="0085790F"/>
    <w:rsid w:val="00862B63"/>
    <w:rsid w:val="00862C00"/>
    <w:rsid w:val="008651D9"/>
    <w:rsid w:val="00866E63"/>
    <w:rsid w:val="00867F71"/>
    <w:rsid w:val="0087185A"/>
    <w:rsid w:val="00872363"/>
    <w:rsid w:val="0087392A"/>
    <w:rsid w:val="00873E1D"/>
    <w:rsid w:val="0087474F"/>
    <w:rsid w:val="00875DB4"/>
    <w:rsid w:val="00877053"/>
    <w:rsid w:val="008808EB"/>
    <w:rsid w:val="0088340E"/>
    <w:rsid w:val="0088441E"/>
    <w:rsid w:val="00886F5B"/>
    <w:rsid w:val="00890A46"/>
    <w:rsid w:val="0089327E"/>
    <w:rsid w:val="00895A3F"/>
    <w:rsid w:val="00897CEF"/>
    <w:rsid w:val="008A0A73"/>
    <w:rsid w:val="008A359F"/>
    <w:rsid w:val="008A36CA"/>
    <w:rsid w:val="008A40AC"/>
    <w:rsid w:val="008A5029"/>
    <w:rsid w:val="008A5D5E"/>
    <w:rsid w:val="008A668A"/>
    <w:rsid w:val="008A7563"/>
    <w:rsid w:val="008B1CBD"/>
    <w:rsid w:val="008B4C52"/>
    <w:rsid w:val="008C0F8C"/>
    <w:rsid w:val="008C3D4C"/>
    <w:rsid w:val="008C4177"/>
    <w:rsid w:val="008C43C6"/>
    <w:rsid w:val="008C7651"/>
    <w:rsid w:val="008D043D"/>
    <w:rsid w:val="008D14D8"/>
    <w:rsid w:val="008D40A3"/>
    <w:rsid w:val="008D62CB"/>
    <w:rsid w:val="008D6B42"/>
    <w:rsid w:val="008E04ED"/>
    <w:rsid w:val="008E1686"/>
    <w:rsid w:val="008E336E"/>
    <w:rsid w:val="008E5287"/>
    <w:rsid w:val="008E6960"/>
    <w:rsid w:val="008E6D01"/>
    <w:rsid w:val="008E6FEB"/>
    <w:rsid w:val="008E7485"/>
    <w:rsid w:val="008E793B"/>
    <w:rsid w:val="008F11BC"/>
    <w:rsid w:val="008F1A39"/>
    <w:rsid w:val="008F1EE7"/>
    <w:rsid w:val="008F2F8A"/>
    <w:rsid w:val="008F51AF"/>
    <w:rsid w:val="008F5240"/>
    <w:rsid w:val="008F7CF3"/>
    <w:rsid w:val="00901F00"/>
    <w:rsid w:val="00903DE6"/>
    <w:rsid w:val="00906418"/>
    <w:rsid w:val="00907F3A"/>
    <w:rsid w:val="00910894"/>
    <w:rsid w:val="00911915"/>
    <w:rsid w:val="00912DC9"/>
    <w:rsid w:val="0091403F"/>
    <w:rsid w:val="009151A8"/>
    <w:rsid w:val="00915A36"/>
    <w:rsid w:val="009160B3"/>
    <w:rsid w:val="009175D0"/>
    <w:rsid w:val="00920C7A"/>
    <w:rsid w:val="00921A7F"/>
    <w:rsid w:val="00922F16"/>
    <w:rsid w:val="00930CA9"/>
    <w:rsid w:val="00933A1D"/>
    <w:rsid w:val="00934591"/>
    <w:rsid w:val="00934D5C"/>
    <w:rsid w:val="009429F1"/>
    <w:rsid w:val="0094381D"/>
    <w:rsid w:val="0094420C"/>
    <w:rsid w:val="00950B88"/>
    <w:rsid w:val="00950FF0"/>
    <w:rsid w:val="00951D7A"/>
    <w:rsid w:val="00956451"/>
    <w:rsid w:val="00956C89"/>
    <w:rsid w:val="009575AD"/>
    <w:rsid w:val="00967AD9"/>
    <w:rsid w:val="00970210"/>
    <w:rsid w:val="00970794"/>
    <w:rsid w:val="00971DC3"/>
    <w:rsid w:val="00976914"/>
    <w:rsid w:val="00977026"/>
    <w:rsid w:val="0098093F"/>
    <w:rsid w:val="00980A31"/>
    <w:rsid w:val="00981E2F"/>
    <w:rsid w:val="009832D5"/>
    <w:rsid w:val="009834AD"/>
    <w:rsid w:val="00984D76"/>
    <w:rsid w:val="00984ED0"/>
    <w:rsid w:val="009858DE"/>
    <w:rsid w:val="00985B43"/>
    <w:rsid w:val="00985F68"/>
    <w:rsid w:val="00987CFA"/>
    <w:rsid w:val="0099137D"/>
    <w:rsid w:val="00991FF0"/>
    <w:rsid w:val="00992E14"/>
    <w:rsid w:val="009936B7"/>
    <w:rsid w:val="00994ABD"/>
    <w:rsid w:val="00995448"/>
    <w:rsid w:val="00997817"/>
    <w:rsid w:val="00997B77"/>
    <w:rsid w:val="009A3AC2"/>
    <w:rsid w:val="009A4133"/>
    <w:rsid w:val="009A4B9E"/>
    <w:rsid w:val="009A64A7"/>
    <w:rsid w:val="009A71DB"/>
    <w:rsid w:val="009B0F87"/>
    <w:rsid w:val="009B4753"/>
    <w:rsid w:val="009B6AA1"/>
    <w:rsid w:val="009B6F80"/>
    <w:rsid w:val="009C43BA"/>
    <w:rsid w:val="009C72F9"/>
    <w:rsid w:val="009D3FC3"/>
    <w:rsid w:val="009D5080"/>
    <w:rsid w:val="009D7FB7"/>
    <w:rsid w:val="009E09C2"/>
    <w:rsid w:val="009E15AC"/>
    <w:rsid w:val="009E53CC"/>
    <w:rsid w:val="009E6F2B"/>
    <w:rsid w:val="009E710C"/>
    <w:rsid w:val="009E7FFB"/>
    <w:rsid w:val="009F0F18"/>
    <w:rsid w:val="009F2625"/>
    <w:rsid w:val="009F4E73"/>
    <w:rsid w:val="009F64B6"/>
    <w:rsid w:val="00A000E4"/>
    <w:rsid w:val="00A01C6F"/>
    <w:rsid w:val="00A028BC"/>
    <w:rsid w:val="00A060C0"/>
    <w:rsid w:val="00A06B54"/>
    <w:rsid w:val="00A11924"/>
    <w:rsid w:val="00A12F01"/>
    <w:rsid w:val="00A14797"/>
    <w:rsid w:val="00A26248"/>
    <w:rsid w:val="00A26396"/>
    <w:rsid w:val="00A263B0"/>
    <w:rsid w:val="00A30A26"/>
    <w:rsid w:val="00A32A69"/>
    <w:rsid w:val="00A33758"/>
    <w:rsid w:val="00A42EAB"/>
    <w:rsid w:val="00A4358B"/>
    <w:rsid w:val="00A47517"/>
    <w:rsid w:val="00A5045D"/>
    <w:rsid w:val="00A51D96"/>
    <w:rsid w:val="00A54FED"/>
    <w:rsid w:val="00A5519E"/>
    <w:rsid w:val="00A5550D"/>
    <w:rsid w:val="00A60BFE"/>
    <w:rsid w:val="00A70516"/>
    <w:rsid w:val="00A726FD"/>
    <w:rsid w:val="00A73C9A"/>
    <w:rsid w:val="00A7611C"/>
    <w:rsid w:val="00A80913"/>
    <w:rsid w:val="00A80F5B"/>
    <w:rsid w:val="00A82A81"/>
    <w:rsid w:val="00A854C8"/>
    <w:rsid w:val="00A85A35"/>
    <w:rsid w:val="00A85E50"/>
    <w:rsid w:val="00A86AE0"/>
    <w:rsid w:val="00A907EC"/>
    <w:rsid w:val="00A92738"/>
    <w:rsid w:val="00A92868"/>
    <w:rsid w:val="00A92F83"/>
    <w:rsid w:val="00A93D4A"/>
    <w:rsid w:val="00A9691F"/>
    <w:rsid w:val="00AA43BB"/>
    <w:rsid w:val="00AA5B0D"/>
    <w:rsid w:val="00AA6123"/>
    <w:rsid w:val="00AB00C6"/>
    <w:rsid w:val="00AB0343"/>
    <w:rsid w:val="00AB09E9"/>
    <w:rsid w:val="00AC3774"/>
    <w:rsid w:val="00AC396C"/>
    <w:rsid w:val="00AC417E"/>
    <w:rsid w:val="00AC4B1D"/>
    <w:rsid w:val="00AD0B4C"/>
    <w:rsid w:val="00AD295E"/>
    <w:rsid w:val="00AD2C65"/>
    <w:rsid w:val="00AD4003"/>
    <w:rsid w:val="00AD4266"/>
    <w:rsid w:val="00AE0657"/>
    <w:rsid w:val="00AE2366"/>
    <w:rsid w:val="00AE4C5E"/>
    <w:rsid w:val="00AE5D2A"/>
    <w:rsid w:val="00AE727E"/>
    <w:rsid w:val="00AF1063"/>
    <w:rsid w:val="00AF1A8F"/>
    <w:rsid w:val="00B0145E"/>
    <w:rsid w:val="00B02A85"/>
    <w:rsid w:val="00B02F8C"/>
    <w:rsid w:val="00B05CE2"/>
    <w:rsid w:val="00B0778A"/>
    <w:rsid w:val="00B13E3E"/>
    <w:rsid w:val="00B14358"/>
    <w:rsid w:val="00B14571"/>
    <w:rsid w:val="00B150EC"/>
    <w:rsid w:val="00B2177D"/>
    <w:rsid w:val="00B22A1D"/>
    <w:rsid w:val="00B256C6"/>
    <w:rsid w:val="00B25C0B"/>
    <w:rsid w:val="00B25D2A"/>
    <w:rsid w:val="00B3152D"/>
    <w:rsid w:val="00B37E21"/>
    <w:rsid w:val="00B42249"/>
    <w:rsid w:val="00B47826"/>
    <w:rsid w:val="00B5082C"/>
    <w:rsid w:val="00B51ACF"/>
    <w:rsid w:val="00B533DD"/>
    <w:rsid w:val="00B5709D"/>
    <w:rsid w:val="00B575DE"/>
    <w:rsid w:val="00B577B8"/>
    <w:rsid w:val="00B607CF"/>
    <w:rsid w:val="00B61D08"/>
    <w:rsid w:val="00B6603D"/>
    <w:rsid w:val="00B702A6"/>
    <w:rsid w:val="00B708DE"/>
    <w:rsid w:val="00B7102A"/>
    <w:rsid w:val="00B71C31"/>
    <w:rsid w:val="00B754E2"/>
    <w:rsid w:val="00B7624E"/>
    <w:rsid w:val="00B763E1"/>
    <w:rsid w:val="00B81364"/>
    <w:rsid w:val="00B8257E"/>
    <w:rsid w:val="00B82DF8"/>
    <w:rsid w:val="00B830C2"/>
    <w:rsid w:val="00B918B8"/>
    <w:rsid w:val="00B92386"/>
    <w:rsid w:val="00B92483"/>
    <w:rsid w:val="00B939C5"/>
    <w:rsid w:val="00B972D9"/>
    <w:rsid w:val="00BA006F"/>
    <w:rsid w:val="00BA105C"/>
    <w:rsid w:val="00BA1247"/>
    <w:rsid w:val="00BA1DEB"/>
    <w:rsid w:val="00BA1F15"/>
    <w:rsid w:val="00BA22C2"/>
    <w:rsid w:val="00BA59F8"/>
    <w:rsid w:val="00BB2F18"/>
    <w:rsid w:val="00BB453A"/>
    <w:rsid w:val="00BB489F"/>
    <w:rsid w:val="00BB5538"/>
    <w:rsid w:val="00BB560A"/>
    <w:rsid w:val="00BC225D"/>
    <w:rsid w:val="00BC31B2"/>
    <w:rsid w:val="00BC3988"/>
    <w:rsid w:val="00BC437F"/>
    <w:rsid w:val="00BC58F1"/>
    <w:rsid w:val="00BC6800"/>
    <w:rsid w:val="00BD343C"/>
    <w:rsid w:val="00BD644F"/>
    <w:rsid w:val="00BD7CA9"/>
    <w:rsid w:val="00BE1B70"/>
    <w:rsid w:val="00BE282A"/>
    <w:rsid w:val="00BE3BAD"/>
    <w:rsid w:val="00BE441E"/>
    <w:rsid w:val="00BE465B"/>
    <w:rsid w:val="00BF3AA0"/>
    <w:rsid w:val="00BF3E5D"/>
    <w:rsid w:val="00BF6BBC"/>
    <w:rsid w:val="00BF7107"/>
    <w:rsid w:val="00C00002"/>
    <w:rsid w:val="00C012B6"/>
    <w:rsid w:val="00C022F5"/>
    <w:rsid w:val="00C023D5"/>
    <w:rsid w:val="00C04C56"/>
    <w:rsid w:val="00C04FB0"/>
    <w:rsid w:val="00C07233"/>
    <w:rsid w:val="00C12FD7"/>
    <w:rsid w:val="00C168B7"/>
    <w:rsid w:val="00C1716F"/>
    <w:rsid w:val="00C17BE6"/>
    <w:rsid w:val="00C2247A"/>
    <w:rsid w:val="00C26366"/>
    <w:rsid w:val="00C32F01"/>
    <w:rsid w:val="00C40A45"/>
    <w:rsid w:val="00C40E8F"/>
    <w:rsid w:val="00C415D7"/>
    <w:rsid w:val="00C43D34"/>
    <w:rsid w:val="00C45DF2"/>
    <w:rsid w:val="00C51405"/>
    <w:rsid w:val="00C515EC"/>
    <w:rsid w:val="00C524C8"/>
    <w:rsid w:val="00C53EC2"/>
    <w:rsid w:val="00C5463D"/>
    <w:rsid w:val="00C5780F"/>
    <w:rsid w:val="00C616BA"/>
    <w:rsid w:val="00C61984"/>
    <w:rsid w:val="00C62169"/>
    <w:rsid w:val="00C634E1"/>
    <w:rsid w:val="00C649C1"/>
    <w:rsid w:val="00C64FA7"/>
    <w:rsid w:val="00C65F2B"/>
    <w:rsid w:val="00C66B46"/>
    <w:rsid w:val="00C75BF5"/>
    <w:rsid w:val="00C808F7"/>
    <w:rsid w:val="00C8094D"/>
    <w:rsid w:val="00C8224D"/>
    <w:rsid w:val="00C82C9A"/>
    <w:rsid w:val="00C85318"/>
    <w:rsid w:val="00C87EE1"/>
    <w:rsid w:val="00C955E5"/>
    <w:rsid w:val="00C96795"/>
    <w:rsid w:val="00CA0A9C"/>
    <w:rsid w:val="00CA0ED1"/>
    <w:rsid w:val="00CA1CBF"/>
    <w:rsid w:val="00CA3A87"/>
    <w:rsid w:val="00CA4567"/>
    <w:rsid w:val="00CA62ED"/>
    <w:rsid w:val="00CA7D1B"/>
    <w:rsid w:val="00CA7D20"/>
    <w:rsid w:val="00CB1C98"/>
    <w:rsid w:val="00CB35DF"/>
    <w:rsid w:val="00CB7678"/>
    <w:rsid w:val="00CC1BCC"/>
    <w:rsid w:val="00CC2991"/>
    <w:rsid w:val="00CC3D51"/>
    <w:rsid w:val="00CC452C"/>
    <w:rsid w:val="00CC7D08"/>
    <w:rsid w:val="00CD0F2D"/>
    <w:rsid w:val="00CD2DA6"/>
    <w:rsid w:val="00CD6D8D"/>
    <w:rsid w:val="00CE1274"/>
    <w:rsid w:val="00CE1388"/>
    <w:rsid w:val="00CE1D07"/>
    <w:rsid w:val="00CE1F74"/>
    <w:rsid w:val="00CE3A12"/>
    <w:rsid w:val="00CE42E7"/>
    <w:rsid w:val="00CE6774"/>
    <w:rsid w:val="00CF329A"/>
    <w:rsid w:val="00CF61D5"/>
    <w:rsid w:val="00CF7A85"/>
    <w:rsid w:val="00D00E66"/>
    <w:rsid w:val="00D01784"/>
    <w:rsid w:val="00D02E63"/>
    <w:rsid w:val="00D10596"/>
    <w:rsid w:val="00D11B34"/>
    <w:rsid w:val="00D11C97"/>
    <w:rsid w:val="00D129A5"/>
    <w:rsid w:val="00D12A5F"/>
    <w:rsid w:val="00D138F7"/>
    <w:rsid w:val="00D13AA6"/>
    <w:rsid w:val="00D16BEF"/>
    <w:rsid w:val="00D1705C"/>
    <w:rsid w:val="00D20A89"/>
    <w:rsid w:val="00D2449B"/>
    <w:rsid w:val="00D254AA"/>
    <w:rsid w:val="00D263A3"/>
    <w:rsid w:val="00D2669A"/>
    <w:rsid w:val="00D27AC5"/>
    <w:rsid w:val="00D27FCE"/>
    <w:rsid w:val="00D325B3"/>
    <w:rsid w:val="00D3436D"/>
    <w:rsid w:val="00D4040B"/>
    <w:rsid w:val="00D40805"/>
    <w:rsid w:val="00D4356B"/>
    <w:rsid w:val="00D435A4"/>
    <w:rsid w:val="00D4772D"/>
    <w:rsid w:val="00D508EE"/>
    <w:rsid w:val="00D550AA"/>
    <w:rsid w:val="00D56603"/>
    <w:rsid w:val="00D567F6"/>
    <w:rsid w:val="00D60515"/>
    <w:rsid w:val="00D61FBA"/>
    <w:rsid w:val="00D71D2B"/>
    <w:rsid w:val="00D81FF1"/>
    <w:rsid w:val="00D8242B"/>
    <w:rsid w:val="00D83EFA"/>
    <w:rsid w:val="00D8534E"/>
    <w:rsid w:val="00D9522F"/>
    <w:rsid w:val="00DA044F"/>
    <w:rsid w:val="00DA2470"/>
    <w:rsid w:val="00DA2B52"/>
    <w:rsid w:val="00DA3F2A"/>
    <w:rsid w:val="00DA7319"/>
    <w:rsid w:val="00DB0CD6"/>
    <w:rsid w:val="00DB152D"/>
    <w:rsid w:val="00DB2B73"/>
    <w:rsid w:val="00DB4A66"/>
    <w:rsid w:val="00DB4C54"/>
    <w:rsid w:val="00DB5044"/>
    <w:rsid w:val="00DD06C0"/>
    <w:rsid w:val="00DD6178"/>
    <w:rsid w:val="00DD68C1"/>
    <w:rsid w:val="00DD6AEA"/>
    <w:rsid w:val="00DE10D9"/>
    <w:rsid w:val="00DE20EC"/>
    <w:rsid w:val="00DE2606"/>
    <w:rsid w:val="00DE47A0"/>
    <w:rsid w:val="00DE7E26"/>
    <w:rsid w:val="00DF1BB7"/>
    <w:rsid w:val="00DF1F58"/>
    <w:rsid w:val="00DF2615"/>
    <w:rsid w:val="00DF4DAC"/>
    <w:rsid w:val="00DF50BE"/>
    <w:rsid w:val="00E00D8A"/>
    <w:rsid w:val="00E041DB"/>
    <w:rsid w:val="00E04569"/>
    <w:rsid w:val="00E0545A"/>
    <w:rsid w:val="00E16157"/>
    <w:rsid w:val="00E2059C"/>
    <w:rsid w:val="00E21366"/>
    <w:rsid w:val="00E231F0"/>
    <w:rsid w:val="00E239AA"/>
    <w:rsid w:val="00E27F8A"/>
    <w:rsid w:val="00E310D1"/>
    <w:rsid w:val="00E32671"/>
    <w:rsid w:val="00E35F5F"/>
    <w:rsid w:val="00E36125"/>
    <w:rsid w:val="00E37A42"/>
    <w:rsid w:val="00E43790"/>
    <w:rsid w:val="00E44914"/>
    <w:rsid w:val="00E4565E"/>
    <w:rsid w:val="00E4660C"/>
    <w:rsid w:val="00E46A7F"/>
    <w:rsid w:val="00E46B4D"/>
    <w:rsid w:val="00E47615"/>
    <w:rsid w:val="00E508BF"/>
    <w:rsid w:val="00E518DC"/>
    <w:rsid w:val="00E51AE3"/>
    <w:rsid w:val="00E52AE5"/>
    <w:rsid w:val="00E5302F"/>
    <w:rsid w:val="00E53AC3"/>
    <w:rsid w:val="00E541E2"/>
    <w:rsid w:val="00E54E51"/>
    <w:rsid w:val="00E559B9"/>
    <w:rsid w:val="00E55FFE"/>
    <w:rsid w:val="00E56628"/>
    <w:rsid w:val="00E6179E"/>
    <w:rsid w:val="00E6332F"/>
    <w:rsid w:val="00E64C3E"/>
    <w:rsid w:val="00E66F42"/>
    <w:rsid w:val="00E73081"/>
    <w:rsid w:val="00E82A5A"/>
    <w:rsid w:val="00E83201"/>
    <w:rsid w:val="00E86F41"/>
    <w:rsid w:val="00E91E15"/>
    <w:rsid w:val="00E92562"/>
    <w:rsid w:val="00E9434F"/>
    <w:rsid w:val="00E94A54"/>
    <w:rsid w:val="00E957AE"/>
    <w:rsid w:val="00E975B2"/>
    <w:rsid w:val="00EA234F"/>
    <w:rsid w:val="00EA2B31"/>
    <w:rsid w:val="00EA30CA"/>
    <w:rsid w:val="00EA6A08"/>
    <w:rsid w:val="00EA6C39"/>
    <w:rsid w:val="00EA7BFB"/>
    <w:rsid w:val="00EB02B1"/>
    <w:rsid w:val="00EB041E"/>
    <w:rsid w:val="00EB1469"/>
    <w:rsid w:val="00EB27CA"/>
    <w:rsid w:val="00EB4A23"/>
    <w:rsid w:val="00EB79F8"/>
    <w:rsid w:val="00EC2EC2"/>
    <w:rsid w:val="00EC311E"/>
    <w:rsid w:val="00EC34C4"/>
    <w:rsid w:val="00EC54E2"/>
    <w:rsid w:val="00EC7AB2"/>
    <w:rsid w:val="00ED0FBF"/>
    <w:rsid w:val="00ED1965"/>
    <w:rsid w:val="00ED42B9"/>
    <w:rsid w:val="00EE1D48"/>
    <w:rsid w:val="00EE44A1"/>
    <w:rsid w:val="00EE48A1"/>
    <w:rsid w:val="00EE773C"/>
    <w:rsid w:val="00EE7ACD"/>
    <w:rsid w:val="00EF0CCD"/>
    <w:rsid w:val="00EF1AAC"/>
    <w:rsid w:val="00EF4BC2"/>
    <w:rsid w:val="00EF73E3"/>
    <w:rsid w:val="00F00547"/>
    <w:rsid w:val="00F01770"/>
    <w:rsid w:val="00F031F9"/>
    <w:rsid w:val="00F047C8"/>
    <w:rsid w:val="00F10C04"/>
    <w:rsid w:val="00F11D45"/>
    <w:rsid w:val="00F1610F"/>
    <w:rsid w:val="00F219CE"/>
    <w:rsid w:val="00F22DB7"/>
    <w:rsid w:val="00F2317C"/>
    <w:rsid w:val="00F237FC"/>
    <w:rsid w:val="00F255E4"/>
    <w:rsid w:val="00F27E18"/>
    <w:rsid w:val="00F305DE"/>
    <w:rsid w:val="00F321C6"/>
    <w:rsid w:val="00F330CD"/>
    <w:rsid w:val="00F42091"/>
    <w:rsid w:val="00F42280"/>
    <w:rsid w:val="00F44BB7"/>
    <w:rsid w:val="00F47749"/>
    <w:rsid w:val="00F478A2"/>
    <w:rsid w:val="00F47A8D"/>
    <w:rsid w:val="00F47D4F"/>
    <w:rsid w:val="00F50FBC"/>
    <w:rsid w:val="00F51187"/>
    <w:rsid w:val="00F557DB"/>
    <w:rsid w:val="00F60004"/>
    <w:rsid w:val="00F62276"/>
    <w:rsid w:val="00F66AF3"/>
    <w:rsid w:val="00F67394"/>
    <w:rsid w:val="00F75DAC"/>
    <w:rsid w:val="00F814DB"/>
    <w:rsid w:val="00F81D4F"/>
    <w:rsid w:val="00F824EE"/>
    <w:rsid w:val="00F84BDA"/>
    <w:rsid w:val="00F91B04"/>
    <w:rsid w:val="00F91DF7"/>
    <w:rsid w:val="00F92503"/>
    <w:rsid w:val="00F9487D"/>
    <w:rsid w:val="00F95629"/>
    <w:rsid w:val="00F95967"/>
    <w:rsid w:val="00F96EFA"/>
    <w:rsid w:val="00FA116F"/>
    <w:rsid w:val="00FA19E2"/>
    <w:rsid w:val="00FA249B"/>
    <w:rsid w:val="00FA5230"/>
    <w:rsid w:val="00FA6B99"/>
    <w:rsid w:val="00FA6C5D"/>
    <w:rsid w:val="00FA6CF4"/>
    <w:rsid w:val="00FA72C4"/>
    <w:rsid w:val="00FA77EF"/>
    <w:rsid w:val="00FB1D71"/>
    <w:rsid w:val="00FB2315"/>
    <w:rsid w:val="00FC16C0"/>
    <w:rsid w:val="00FC1918"/>
    <w:rsid w:val="00FC32F4"/>
    <w:rsid w:val="00FD1964"/>
    <w:rsid w:val="00FD3EBE"/>
    <w:rsid w:val="00FD4833"/>
    <w:rsid w:val="00FD5007"/>
    <w:rsid w:val="00FE0AF9"/>
    <w:rsid w:val="00FE5AD3"/>
    <w:rsid w:val="00FE7BE9"/>
    <w:rsid w:val="00FF2FE6"/>
    <w:rsid w:val="00FF48C8"/>
    <w:rsid w:val="00FF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15CA3"/>
  <w15:chartTrackingRefBased/>
  <w15:docId w15:val="{7C974450-74F2-4E14-90F4-9F40D139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E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03"/>
    <w:pPr>
      <w:ind w:left="720"/>
      <w:contextualSpacing/>
    </w:pPr>
  </w:style>
  <w:style w:type="paragraph" w:styleId="Header">
    <w:name w:val="header"/>
    <w:basedOn w:val="Normal"/>
    <w:link w:val="HeaderChar"/>
    <w:uiPriority w:val="99"/>
    <w:rsid w:val="000F3272"/>
    <w:pPr>
      <w:tabs>
        <w:tab w:val="center" w:pos="4680"/>
        <w:tab w:val="right" w:pos="9360"/>
      </w:tabs>
    </w:pPr>
    <w:rPr>
      <w:lang w:val="x-none" w:eastAsia="x-none"/>
    </w:rPr>
  </w:style>
  <w:style w:type="character" w:customStyle="1" w:styleId="HeaderChar">
    <w:name w:val="Header Char"/>
    <w:link w:val="Header"/>
    <w:uiPriority w:val="99"/>
    <w:rsid w:val="000F3272"/>
    <w:rPr>
      <w:sz w:val="24"/>
      <w:szCs w:val="24"/>
    </w:rPr>
  </w:style>
  <w:style w:type="paragraph" w:styleId="Footer">
    <w:name w:val="footer"/>
    <w:basedOn w:val="Normal"/>
    <w:link w:val="FooterChar"/>
    <w:uiPriority w:val="99"/>
    <w:rsid w:val="000F3272"/>
    <w:pPr>
      <w:tabs>
        <w:tab w:val="center" w:pos="4680"/>
        <w:tab w:val="right" w:pos="9360"/>
      </w:tabs>
    </w:pPr>
    <w:rPr>
      <w:lang w:val="x-none" w:eastAsia="x-none"/>
    </w:rPr>
  </w:style>
  <w:style w:type="character" w:customStyle="1" w:styleId="FooterChar">
    <w:name w:val="Footer Char"/>
    <w:link w:val="Footer"/>
    <w:uiPriority w:val="99"/>
    <w:rsid w:val="000F3272"/>
    <w:rPr>
      <w:sz w:val="24"/>
      <w:szCs w:val="24"/>
    </w:rPr>
  </w:style>
  <w:style w:type="paragraph" w:styleId="BalloonText">
    <w:name w:val="Balloon Text"/>
    <w:basedOn w:val="Normal"/>
    <w:link w:val="BalloonTextChar"/>
    <w:uiPriority w:val="99"/>
    <w:rsid w:val="000F3272"/>
    <w:rPr>
      <w:rFonts w:ascii="Tahoma" w:hAnsi="Tahoma"/>
      <w:sz w:val="16"/>
      <w:szCs w:val="16"/>
      <w:lang w:val="x-none" w:eastAsia="x-none"/>
    </w:rPr>
  </w:style>
  <w:style w:type="character" w:customStyle="1" w:styleId="BalloonTextChar">
    <w:name w:val="Balloon Text Char"/>
    <w:link w:val="BalloonText"/>
    <w:uiPriority w:val="99"/>
    <w:rsid w:val="000F3272"/>
    <w:rPr>
      <w:rFonts w:ascii="Tahoma" w:hAnsi="Tahoma" w:cs="Tahoma"/>
      <w:sz w:val="16"/>
      <w:szCs w:val="16"/>
    </w:rPr>
  </w:style>
  <w:style w:type="character" w:styleId="CommentReference">
    <w:name w:val="annotation reference"/>
    <w:uiPriority w:val="99"/>
    <w:rsid w:val="007B2E60"/>
    <w:rPr>
      <w:sz w:val="16"/>
      <w:szCs w:val="16"/>
    </w:rPr>
  </w:style>
  <w:style w:type="paragraph" w:styleId="CommentText">
    <w:name w:val="annotation text"/>
    <w:basedOn w:val="Normal"/>
    <w:link w:val="CommentTextChar"/>
    <w:uiPriority w:val="99"/>
    <w:rsid w:val="007B2E60"/>
    <w:rPr>
      <w:sz w:val="20"/>
      <w:szCs w:val="20"/>
    </w:rPr>
  </w:style>
  <w:style w:type="character" w:customStyle="1" w:styleId="CommentTextChar">
    <w:name w:val="Comment Text Char"/>
    <w:basedOn w:val="DefaultParagraphFont"/>
    <w:link w:val="CommentText"/>
    <w:uiPriority w:val="99"/>
    <w:rsid w:val="007B2E60"/>
  </w:style>
  <w:style w:type="paragraph" w:styleId="CommentSubject">
    <w:name w:val="annotation subject"/>
    <w:basedOn w:val="CommentText"/>
    <w:next w:val="CommentText"/>
    <w:link w:val="CommentSubjectChar"/>
    <w:uiPriority w:val="99"/>
    <w:rsid w:val="007B2E60"/>
    <w:rPr>
      <w:b/>
      <w:bCs/>
      <w:lang w:val="x-none" w:eastAsia="x-none"/>
    </w:rPr>
  </w:style>
  <w:style w:type="character" w:customStyle="1" w:styleId="CommentSubjectChar">
    <w:name w:val="Comment Subject Char"/>
    <w:link w:val="CommentSubject"/>
    <w:uiPriority w:val="99"/>
    <w:rsid w:val="007B2E60"/>
    <w:rPr>
      <w:b/>
      <w:bCs/>
    </w:rPr>
  </w:style>
  <w:style w:type="character" w:styleId="Hyperlink">
    <w:name w:val="Hyperlink"/>
    <w:rsid w:val="00BF6BBC"/>
    <w:rPr>
      <w:color w:val="0000FF"/>
      <w:u w:val="single"/>
    </w:rPr>
  </w:style>
  <w:style w:type="paragraph" w:styleId="Revision">
    <w:name w:val="Revision"/>
    <w:hidden/>
    <w:uiPriority w:val="99"/>
    <w:semiHidden/>
    <w:rsid w:val="007241B9"/>
    <w:rPr>
      <w:sz w:val="24"/>
      <w:szCs w:val="24"/>
    </w:rPr>
  </w:style>
  <w:style w:type="table" w:styleId="TableGrid">
    <w:name w:val="Table Grid"/>
    <w:basedOn w:val="TableNormal"/>
    <w:uiPriority w:val="39"/>
    <w:rsid w:val="00A12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Quote"/>
    <w:rsid w:val="00A7611C"/>
    <w:pPr>
      <w:spacing w:before="0" w:after="0"/>
      <w:ind w:left="720" w:right="720"/>
      <w:jc w:val="both"/>
    </w:pPr>
    <w:rPr>
      <w:i w:val="0"/>
      <w:iCs w:val="0"/>
      <w:color w:val="auto"/>
    </w:rPr>
  </w:style>
  <w:style w:type="paragraph" w:styleId="Quote">
    <w:name w:val="Quote"/>
    <w:basedOn w:val="Normal"/>
    <w:next w:val="Normal"/>
    <w:link w:val="QuoteChar"/>
    <w:uiPriority w:val="29"/>
    <w:qFormat/>
    <w:rsid w:val="00A7611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7611C"/>
    <w:rPr>
      <w:i/>
      <w:iCs/>
      <w:color w:val="404040" w:themeColor="text1" w:themeTint="BF"/>
      <w:sz w:val="24"/>
      <w:szCs w:val="24"/>
    </w:rPr>
  </w:style>
  <w:style w:type="character" w:styleId="UnresolvedMention">
    <w:name w:val="Unresolved Mention"/>
    <w:basedOn w:val="DefaultParagraphFont"/>
    <w:uiPriority w:val="99"/>
    <w:semiHidden/>
    <w:unhideWhenUsed/>
    <w:rsid w:val="009F6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0B363-4A4F-4BB7-AF8B-258718A6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1282</Words>
  <Characters>6767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Idaho Attorney General's Office</Company>
  <LinksUpToDate>false</LinksUpToDate>
  <CharactersWithSpaces>8033</CharactersWithSpaces>
  <SharedDoc>false</SharedDoc>
  <HLinks>
    <vt:vector size="12" baseType="variant">
      <vt:variant>
        <vt:i4>2031630</vt:i4>
      </vt:variant>
      <vt:variant>
        <vt:i4>3</vt:i4>
      </vt:variant>
      <vt:variant>
        <vt:i4>0</vt:i4>
      </vt:variant>
      <vt:variant>
        <vt:i4>5</vt:i4>
      </vt:variant>
      <vt:variant>
        <vt:lpwstr>http://id-canyon-assessor.governmaxa.com/propertymax/rover30.asp</vt:lpwstr>
      </vt:variant>
      <vt:variant>
        <vt:lpwstr/>
      </vt:variant>
      <vt:variant>
        <vt:i4>2031630</vt:i4>
      </vt:variant>
      <vt:variant>
        <vt:i4>0</vt:i4>
      </vt:variant>
      <vt:variant>
        <vt:i4>0</vt:i4>
      </vt:variant>
      <vt:variant>
        <vt:i4>5</vt:i4>
      </vt:variant>
      <vt:variant>
        <vt:lpwstr>http://id-canyon-assessor.governmaxa.com/propertymax/rover30.asp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JWEAVER</dc:creator>
  <cp:keywords/>
  <cp:lastModifiedBy>Wilma Robertson</cp:lastModifiedBy>
  <cp:revision>3</cp:revision>
  <cp:lastPrinted>2022-04-04T21:54:00Z</cp:lastPrinted>
  <dcterms:created xsi:type="dcterms:W3CDTF">2022-05-16T14:17:00Z</dcterms:created>
  <dcterms:modified xsi:type="dcterms:W3CDTF">2022-05-16T14:21:00Z</dcterms:modified>
</cp:coreProperties>
</file>